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58BE5">
      <w:pPr>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附件</w:t>
      </w:r>
    </w:p>
    <w:p w14:paraId="4DE7EECB">
      <w:pPr>
        <w:jc w:val="center"/>
        <w:rPr>
          <w:rFonts w:hint="default" w:ascii="黑体" w:hAnsi="黑体" w:eastAsia="黑体" w:cs="黑体"/>
          <w:lang w:val="en-US" w:eastAsia="zh-CN"/>
        </w:rPr>
      </w:pPr>
      <w:r>
        <w:rPr>
          <w:rFonts w:hint="eastAsia" w:ascii="黑体" w:hAnsi="黑体" w:eastAsia="黑体" w:cs="黑体"/>
          <w:sz w:val="32"/>
          <w:szCs w:val="40"/>
          <w:lang w:val="en-US" w:eastAsia="zh-CN"/>
        </w:rPr>
        <w:t>山东省信息产业协会团体标准集中复审结论建议表</w:t>
      </w:r>
    </w:p>
    <w:tbl>
      <w:tblPr>
        <w:tblStyle w:val="5"/>
        <w:tblpPr w:leftFromText="180" w:rightFromText="180" w:vertAnchor="text" w:horzAnchor="page" w:tblpXSpec="center" w:tblpY="653"/>
        <w:tblOverlap w:val="never"/>
        <w:tblW w:w="14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8"/>
        <w:gridCol w:w="1814"/>
        <w:gridCol w:w="2948"/>
        <w:gridCol w:w="3572"/>
        <w:gridCol w:w="2381"/>
        <w:gridCol w:w="1077"/>
        <w:gridCol w:w="1757"/>
      </w:tblGrid>
      <w:tr w14:paraId="2A09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06ACF929">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序号</w:t>
            </w:r>
          </w:p>
        </w:tc>
        <w:tc>
          <w:tcPr>
            <w:tcW w:w="1814" w:type="dxa"/>
            <w:vAlign w:val="center"/>
          </w:tcPr>
          <w:p w14:paraId="42AD3952">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标准编号</w:t>
            </w:r>
          </w:p>
        </w:tc>
        <w:tc>
          <w:tcPr>
            <w:tcW w:w="2948" w:type="dxa"/>
            <w:vAlign w:val="center"/>
          </w:tcPr>
          <w:p w14:paraId="1C21CC9A">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标准名称</w:t>
            </w:r>
          </w:p>
        </w:tc>
        <w:tc>
          <w:tcPr>
            <w:tcW w:w="3572" w:type="dxa"/>
            <w:vAlign w:val="center"/>
          </w:tcPr>
          <w:p w14:paraId="3869D2F5">
            <w:pPr>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适用范围</w:t>
            </w:r>
          </w:p>
        </w:tc>
        <w:tc>
          <w:tcPr>
            <w:tcW w:w="2381" w:type="dxa"/>
            <w:vAlign w:val="center"/>
          </w:tcPr>
          <w:p w14:paraId="07EB2E9E">
            <w:pPr>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起草单位</w:t>
            </w:r>
          </w:p>
        </w:tc>
        <w:tc>
          <w:tcPr>
            <w:tcW w:w="1077" w:type="dxa"/>
            <w:vAlign w:val="center"/>
          </w:tcPr>
          <w:p w14:paraId="402DD13B">
            <w:pPr>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建议复审结论</w:t>
            </w:r>
          </w:p>
        </w:tc>
        <w:tc>
          <w:tcPr>
            <w:tcW w:w="1757" w:type="dxa"/>
            <w:vAlign w:val="center"/>
          </w:tcPr>
          <w:p w14:paraId="52577434">
            <w:pPr>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备注</w:t>
            </w:r>
          </w:p>
        </w:tc>
      </w:tr>
      <w:tr w14:paraId="71F7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27" w:type="dxa"/>
            <w:gridSpan w:val="7"/>
            <w:vAlign w:val="center"/>
          </w:tcPr>
          <w:p w14:paraId="7CB78636">
            <w:pPr>
              <w:jc w:val="center"/>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pPr>
            <w:r>
              <w:rPr>
                <w:rFonts w:hint="eastAsia" w:ascii="黑体" w:hAnsi="宋体" w:eastAsia="黑体" w:cs="黑体"/>
                <w:b/>
                <w:bCs/>
                <w:kern w:val="2"/>
                <w:sz w:val="24"/>
                <w:szCs w:val="24"/>
              </w:rPr>
              <w:t>复审结论为继续有效的团体标准项目</w:t>
            </w:r>
          </w:p>
        </w:tc>
      </w:tr>
      <w:tr w14:paraId="5A8F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119FB004">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814" w:type="dxa"/>
            <w:shd w:val="clear" w:color="auto" w:fill="auto"/>
            <w:vAlign w:val="center"/>
          </w:tcPr>
          <w:p w14:paraId="255DB18D">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T/SDII 002—2023</w:t>
            </w:r>
          </w:p>
        </w:tc>
        <w:tc>
          <w:tcPr>
            <w:tcW w:w="2948" w:type="dxa"/>
            <w:shd w:val="clear" w:color="auto" w:fill="auto"/>
            <w:vAlign w:val="center"/>
          </w:tcPr>
          <w:p w14:paraId="40DE3031">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《信息技术应用创新适配中心运行服务规范》</w:t>
            </w:r>
          </w:p>
        </w:tc>
        <w:tc>
          <w:tcPr>
            <w:tcW w:w="3572" w:type="dxa"/>
            <w:shd w:val="clear" w:color="auto" w:fill="auto"/>
            <w:vAlign w:val="center"/>
          </w:tcPr>
          <w:p w14:paraId="1FA44E24">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本文件规定了信息技术应用创新适配中心的运行基本要求和服务要求。</w:t>
            </w:r>
          </w:p>
          <w:p w14:paraId="72323E3F">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本文件适用于新建信息技术应用创新适配中心的运行服务建设，对于在建和已有信息技术应用创新适配中心的运行服务优化参照使用。</w:t>
            </w:r>
          </w:p>
        </w:tc>
        <w:tc>
          <w:tcPr>
            <w:tcW w:w="2381" w:type="dxa"/>
            <w:shd w:val="clear" w:color="auto" w:fill="auto"/>
            <w:vAlign w:val="center"/>
          </w:tcPr>
          <w:p w14:paraId="0AE61FD4">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浪潮（山东）计算机科技有限公司</w:t>
            </w:r>
          </w:p>
        </w:tc>
        <w:tc>
          <w:tcPr>
            <w:tcW w:w="1077" w:type="dxa"/>
            <w:shd w:val="clear" w:color="auto" w:fill="auto"/>
            <w:vAlign w:val="center"/>
          </w:tcPr>
          <w:p w14:paraId="10AA0E11">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1757" w:type="dxa"/>
            <w:vAlign w:val="center"/>
          </w:tcPr>
          <w:p w14:paraId="0925B7AA">
            <w:pPr>
              <w:jc w:val="both"/>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pPr>
          </w:p>
        </w:tc>
      </w:tr>
      <w:tr w14:paraId="529A7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50627BA5">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814" w:type="dxa"/>
            <w:shd w:val="clear" w:color="auto" w:fill="auto"/>
            <w:vAlign w:val="center"/>
          </w:tcPr>
          <w:p w14:paraId="54C7E4D8">
            <w:pPr>
              <w:jc w:val="center"/>
              <w:rPr>
                <w:rFonts w:hint="default"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T/SDII 00</w:t>
            </w:r>
            <w:r>
              <w:rPr>
                <w:rFonts w:hint="eastAsia" w:ascii="Times New Roman" w:hAnsi="Times New Roman" w:cs="Times New Roman"/>
                <w:highlight w:val="none"/>
                <w:vertAlign w:val="baseline"/>
                <w:lang w:val="en-US" w:eastAsia="zh-CN"/>
              </w:rPr>
              <w:t>3</w:t>
            </w:r>
            <w:r>
              <w:rPr>
                <w:rFonts w:hint="default" w:ascii="Times New Roman" w:hAnsi="Times New Roman" w:cs="Times New Roman"/>
                <w:highlight w:val="none"/>
                <w:vertAlign w:val="baseline"/>
                <w:lang w:val="en-US" w:eastAsia="zh-CN"/>
              </w:rPr>
              <w:t>—2023</w:t>
            </w:r>
          </w:p>
        </w:tc>
        <w:tc>
          <w:tcPr>
            <w:tcW w:w="2948" w:type="dxa"/>
            <w:shd w:val="clear" w:color="auto" w:fill="auto"/>
            <w:vAlign w:val="center"/>
          </w:tcPr>
          <w:p w14:paraId="54B47B85">
            <w:pPr>
              <w:jc w:val="left"/>
              <w:rPr>
                <w:rFonts w:hint="default"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《信息技术应用创新适配中心从业人员技能评价规范》</w:t>
            </w:r>
          </w:p>
        </w:tc>
        <w:tc>
          <w:tcPr>
            <w:tcW w:w="3572" w:type="dxa"/>
            <w:shd w:val="clear" w:color="auto" w:fill="auto"/>
            <w:vAlign w:val="center"/>
          </w:tcPr>
          <w:p w14:paraId="1AFA01F5">
            <w:pPr>
              <w:jc w:val="both"/>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本文件规定了信息技术应用创新适配中心从业人员的术语和定义、职业级别、评价要素、等级及要</w:t>
            </w:r>
          </w:p>
          <w:p w14:paraId="6CA0EC54">
            <w:pPr>
              <w:jc w:val="both"/>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求、方法及过程、结果及证书。</w:t>
            </w:r>
          </w:p>
          <w:p w14:paraId="0B12E180">
            <w:pPr>
              <w:jc w:val="both"/>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本文件适用于从事信息技术应用创新适配中心从业人员。</w:t>
            </w:r>
          </w:p>
        </w:tc>
        <w:tc>
          <w:tcPr>
            <w:tcW w:w="2381" w:type="dxa"/>
            <w:shd w:val="clear" w:color="auto" w:fill="auto"/>
            <w:vAlign w:val="center"/>
          </w:tcPr>
          <w:p w14:paraId="37FD1B01">
            <w:pPr>
              <w:jc w:val="center"/>
              <w:rPr>
                <w:rFonts w:hint="default"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山东至信信息科技股份有限公司</w:t>
            </w:r>
          </w:p>
        </w:tc>
        <w:tc>
          <w:tcPr>
            <w:tcW w:w="1077" w:type="dxa"/>
            <w:shd w:val="clear" w:color="auto" w:fill="auto"/>
            <w:vAlign w:val="center"/>
          </w:tcPr>
          <w:p w14:paraId="2973793D">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1757" w:type="dxa"/>
            <w:vAlign w:val="center"/>
          </w:tcPr>
          <w:p w14:paraId="65CF9AFD">
            <w:pPr>
              <w:jc w:val="both"/>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pPr>
          </w:p>
        </w:tc>
      </w:tr>
      <w:tr w14:paraId="6E75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5BC962F3">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814" w:type="dxa"/>
            <w:shd w:val="clear" w:color="auto" w:fill="auto"/>
            <w:vAlign w:val="center"/>
          </w:tcPr>
          <w:p w14:paraId="0C5A98C4">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T/SDII 00</w:t>
            </w:r>
            <w:r>
              <w:rPr>
                <w:rFonts w:hint="eastAsia" w:ascii="Times New Roman" w:hAnsi="Times New Roman" w:cs="Times New Roman"/>
                <w:color w:val="000000"/>
                <w:kern w:val="0"/>
                <w:sz w:val="21"/>
                <w:szCs w:val="21"/>
                <w:highlight w:val="none"/>
                <w:lang w:val="en-US" w:eastAsia="zh-CN" w:bidi="ar"/>
              </w:rPr>
              <w:t>5</w:t>
            </w:r>
            <w:r>
              <w:rPr>
                <w:rFonts w:hint="default" w:ascii="Times New Roman" w:hAnsi="Times New Roman" w:cs="Times New Roman"/>
                <w:color w:val="000000"/>
                <w:kern w:val="0"/>
                <w:sz w:val="21"/>
                <w:szCs w:val="21"/>
                <w:highlight w:val="none"/>
                <w:lang w:val="en-US" w:eastAsia="zh-CN" w:bidi="ar"/>
              </w:rPr>
              <w:t>—2023</w:t>
            </w:r>
          </w:p>
        </w:tc>
        <w:tc>
          <w:tcPr>
            <w:tcW w:w="2948" w:type="dxa"/>
            <w:shd w:val="clear" w:color="auto" w:fill="auto"/>
            <w:vAlign w:val="center"/>
          </w:tcPr>
          <w:p w14:paraId="6533A93D">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《信息技术应用创新应用系统迁移测试规范》</w:t>
            </w:r>
          </w:p>
        </w:tc>
        <w:tc>
          <w:tcPr>
            <w:tcW w:w="3572" w:type="dxa"/>
            <w:shd w:val="clear" w:color="auto" w:fill="auto"/>
            <w:vAlign w:val="center"/>
          </w:tcPr>
          <w:p w14:paraId="6920F12A">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cs="Times New Roman"/>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本文件规定了信息技术应用创新（简称信创）应用系统迁移测试的目标、类型、约束条件、流程及内容和方法。</w:t>
            </w:r>
          </w:p>
          <w:p w14:paraId="6746A000">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本文件适用于信创适配中心或检测机构非涉密应用系统迁移的测试活动。</w:t>
            </w:r>
          </w:p>
        </w:tc>
        <w:tc>
          <w:tcPr>
            <w:tcW w:w="2381" w:type="dxa"/>
            <w:shd w:val="clear" w:color="auto" w:fill="auto"/>
            <w:vAlign w:val="center"/>
          </w:tcPr>
          <w:p w14:paraId="2F817B26">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山东正中信息技术股份有限公司</w:t>
            </w:r>
          </w:p>
        </w:tc>
        <w:tc>
          <w:tcPr>
            <w:tcW w:w="1077" w:type="dxa"/>
            <w:shd w:val="clear" w:color="auto" w:fill="auto"/>
            <w:vAlign w:val="center"/>
          </w:tcPr>
          <w:p w14:paraId="1AEE0A46">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1757" w:type="dxa"/>
            <w:vAlign w:val="center"/>
          </w:tcPr>
          <w:p w14:paraId="30A25FBC">
            <w:pPr>
              <w:jc w:val="both"/>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pPr>
          </w:p>
        </w:tc>
      </w:tr>
      <w:tr w14:paraId="71D1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076758AB">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814" w:type="dxa"/>
            <w:shd w:val="clear" w:color="auto" w:fill="auto"/>
            <w:vAlign w:val="center"/>
          </w:tcPr>
          <w:p w14:paraId="127E5004">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T/SDII 00</w:t>
            </w:r>
            <w:r>
              <w:rPr>
                <w:rFonts w:hint="eastAsia" w:ascii="Times New Roman" w:hAnsi="Times New Roman" w:cs="Times New Roman"/>
                <w:color w:val="000000"/>
                <w:kern w:val="0"/>
                <w:sz w:val="21"/>
                <w:szCs w:val="21"/>
                <w:highlight w:val="none"/>
                <w:lang w:val="en-US" w:eastAsia="zh-CN" w:bidi="ar"/>
              </w:rPr>
              <w:t>6</w:t>
            </w:r>
            <w:r>
              <w:rPr>
                <w:rFonts w:hint="default" w:ascii="Times New Roman" w:hAnsi="Times New Roman" w:cs="Times New Roman"/>
                <w:color w:val="000000"/>
                <w:kern w:val="0"/>
                <w:sz w:val="21"/>
                <w:szCs w:val="21"/>
                <w:highlight w:val="none"/>
                <w:lang w:val="en-US" w:eastAsia="zh-CN" w:bidi="ar"/>
              </w:rPr>
              <w:t>—2023</w:t>
            </w:r>
          </w:p>
        </w:tc>
        <w:tc>
          <w:tcPr>
            <w:tcW w:w="2948" w:type="dxa"/>
            <w:shd w:val="clear" w:color="auto" w:fill="auto"/>
            <w:vAlign w:val="center"/>
          </w:tcPr>
          <w:p w14:paraId="173DE7C2">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《信息安全技术  办公设备打印机技术规范》</w:t>
            </w:r>
          </w:p>
        </w:tc>
        <w:tc>
          <w:tcPr>
            <w:tcW w:w="3572" w:type="dxa"/>
            <w:shd w:val="clear" w:color="auto" w:fill="auto"/>
            <w:vAlign w:val="center"/>
          </w:tcPr>
          <w:p w14:paraId="4D2F733A">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本文件规定了办公设备打印机（以下简称打印机）的信息安全技术要求、试验方法。</w:t>
            </w:r>
          </w:p>
          <w:p w14:paraId="04BB2270">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本文件适用于在中国境内生产和销售的、A3及以下幅面的静电成像的单色和彩色打印机、复印机及以打印</w:t>
            </w:r>
            <w:r>
              <w:rPr>
                <w:rFonts w:hint="default" w:ascii="Times New Roman" w:hAnsi="Times New Roman" w:cs="Times New Roman"/>
                <w:color w:val="000000"/>
                <w:kern w:val="0"/>
                <w:sz w:val="21"/>
                <w:szCs w:val="21"/>
                <w:highlight w:val="none"/>
                <w:lang w:val="en-US" w:eastAsia="zh-CN" w:bidi="ar"/>
              </w:rPr>
              <w:t>/</w:t>
            </w:r>
            <w:r>
              <w:rPr>
                <w:rFonts w:hint="eastAsia" w:ascii="Times New Roman" w:hAnsi="Times New Roman" w:cs="Times New Roman"/>
                <w:color w:val="000000"/>
                <w:kern w:val="0"/>
                <w:sz w:val="21"/>
                <w:szCs w:val="21"/>
                <w:highlight w:val="none"/>
                <w:lang w:val="en-US" w:eastAsia="zh-CN" w:bidi="ar"/>
              </w:rPr>
              <w:t>复印为基本功能的单</w:t>
            </w:r>
            <w:r>
              <w:rPr>
                <w:rFonts w:hint="default" w:ascii="Times New Roman" w:hAnsi="Times New Roman" w:cs="Times New Roman"/>
                <w:color w:val="000000"/>
                <w:kern w:val="0"/>
                <w:sz w:val="21"/>
                <w:szCs w:val="21"/>
                <w:highlight w:val="none"/>
                <w:lang w:val="en-US" w:eastAsia="zh-CN" w:bidi="ar"/>
              </w:rPr>
              <w:t>/</w:t>
            </w:r>
            <w:r>
              <w:rPr>
                <w:rFonts w:hint="eastAsia" w:ascii="Times New Roman" w:hAnsi="Times New Roman" w:cs="Times New Roman"/>
                <w:color w:val="000000"/>
                <w:kern w:val="0"/>
                <w:sz w:val="21"/>
                <w:szCs w:val="21"/>
                <w:highlight w:val="none"/>
                <w:lang w:val="en-US" w:eastAsia="zh-CN" w:bidi="ar"/>
              </w:rPr>
              <w:t>多功能一体机等打印机的信息安全技术要求。</w:t>
            </w:r>
          </w:p>
        </w:tc>
        <w:tc>
          <w:tcPr>
            <w:tcW w:w="2381" w:type="dxa"/>
            <w:shd w:val="clear" w:color="auto" w:fill="auto"/>
            <w:vAlign w:val="center"/>
          </w:tcPr>
          <w:p w14:paraId="200B276A">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工业和信息化部威海信息技术综合研究中心</w:t>
            </w:r>
          </w:p>
        </w:tc>
        <w:tc>
          <w:tcPr>
            <w:tcW w:w="1077" w:type="dxa"/>
            <w:shd w:val="clear" w:color="auto" w:fill="auto"/>
            <w:vAlign w:val="center"/>
          </w:tcPr>
          <w:p w14:paraId="3F8EE997">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1757" w:type="dxa"/>
            <w:vAlign w:val="center"/>
          </w:tcPr>
          <w:p w14:paraId="2EC66FBE">
            <w:pPr>
              <w:jc w:val="both"/>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pPr>
          </w:p>
        </w:tc>
      </w:tr>
      <w:tr w14:paraId="26D7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27" w:type="dxa"/>
            <w:gridSpan w:val="7"/>
            <w:vAlign w:val="center"/>
          </w:tcPr>
          <w:p w14:paraId="1F3C6C71">
            <w:pPr>
              <w:jc w:val="center"/>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pPr>
            <w:r>
              <w:rPr>
                <w:rFonts w:hint="eastAsia" w:ascii="黑体" w:hAnsi="宋体" w:eastAsia="黑体" w:cs="黑体"/>
                <w:b/>
                <w:bCs/>
                <w:kern w:val="2"/>
                <w:sz w:val="24"/>
                <w:szCs w:val="24"/>
              </w:rPr>
              <w:t>复审结论为</w:t>
            </w:r>
            <w:r>
              <w:rPr>
                <w:rFonts w:hint="eastAsia" w:ascii="黑体" w:hAnsi="宋体" w:eastAsia="黑体" w:cs="黑体"/>
                <w:b/>
                <w:bCs/>
                <w:kern w:val="2"/>
                <w:sz w:val="24"/>
                <w:szCs w:val="24"/>
                <w:lang w:val="en-US" w:eastAsia="zh-CN"/>
              </w:rPr>
              <w:t>修订</w:t>
            </w:r>
            <w:r>
              <w:rPr>
                <w:rFonts w:hint="eastAsia" w:ascii="黑体" w:hAnsi="宋体" w:eastAsia="黑体" w:cs="黑体"/>
                <w:b/>
                <w:bCs/>
                <w:kern w:val="2"/>
                <w:sz w:val="24"/>
                <w:szCs w:val="24"/>
              </w:rPr>
              <w:t>的团体标准项目</w:t>
            </w:r>
          </w:p>
        </w:tc>
      </w:tr>
      <w:tr w14:paraId="29F2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56D41B4D">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814" w:type="dxa"/>
            <w:shd w:val="clear" w:color="auto" w:fill="auto"/>
            <w:vAlign w:val="center"/>
          </w:tcPr>
          <w:p w14:paraId="570FAFE3">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T/SDII 00</w:t>
            </w:r>
            <w:r>
              <w:rPr>
                <w:rFonts w:hint="eastAsia" w:ascii="Times New Roman" w:hAnsi="Times New Roman" w:cs="Times New Roman"/>
                <w:color w:val="000000"/>
                <w:kern w:val="0"/>
                <w:sz w:val="21"/>
                <w:szCs w:val="21"/>
                <w:highlight w:val="none"/>
                <w:lang w:val="en-US" w:eastAsia="zh-CN" w:bidi="ar"/>
              </w:rPr>
              <w:t>4</w:t>
            </w:r>
            <w:r>
              <w:rPr>
                <w:rFonts w:hint="default" w:ascii="Times New Roman" w:hAnsi="Times New Roman" w:cs="Times New Roman"/>
                <w:color w:val="000000"/>
                <w:kern w:val="0"/>
                <w:sz w:val="21"/>
                <w:szCs w:val="21"/>
                <w:highlight w:val="none"/>
                <w:lang w:val="en-US" w:eastAsia="zh-CN" w:bidi="ar"/>
              </w:rPr>
              <w:t>—2023</w:t>
            </w:r>
          </w:p>
        </w:tc>
        <w:tc>
          <w:tcPr>
            <w:tcW w:w="2948" w:type="dxa"/>
            <w:shd w:val="clear" w:color="auto" w:fill="auto"/>
            <w:vAlign w:val="center"/>
          </w:tcPr>
          <w:p w14:paraId="44545E7C">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《信息技术应用创新适配中心服务成本度量规范》</w:t>
            </w:r>
          </w:p>
        </w:tc>
        <w:tc>
          <w:tcPr>
            <w:tcW w:w="3572" w:type="dxa"/>
            <w:shd w:val="clear" w:color="auto" w:fill="auto"/>
            <w:vAlign w:val="center"/>
          </w:tcPr>
          <w:p w14:paraId="6B3B38D1">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cs="Times New Roman"/>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本标准规定了适配中心软件适配测试服务成本的构成，提供了软件适配测试服务成本度量指南。</w:t>
            </w:r>
          </w:p>
          <w:p w14:paraId="2818CDA8">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color w:val="000000"/>
                <w:kern w:val="0"/>
                <w:sz w:val="21"/>
                <w:szCs w:val="21"/>
                <w:highlight w:val="none"/>
                <w:lang w:val="en-US" w:eastAsia="zh-CN" w:bidi="ar"/>
              </w:rPr>
              <w:t>本标准适用于适配中心软件适配测试项目的服务成本预算、项目决算以及适配测试相关合同的编制，同时也适用于信息技术应用创新产业单位的内部适配测试成本测算。</w:t>
            </w:r>
          </w:p>
        </w:tc>
        <w:tc>
          <w:tcPr>
            <w:tcW w:w="2381" w:type="dxa"/>
            <w:shd w:val="clear" w:color="auto" w:fill="auto"/>
            <w:vAlign w:val="center"/>
          </w:tcPr>
          <w:p w14:paraId="42C9B9C8">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山东信创信息技术有限公司</w:t>
            </w:r>
          </w:p>
        </w:tc>
        <w:tc>
          <w:tcPr>
            <w:tcW w:w="1077" w:type="dxa"/>
            <w:shd w:val="clear" w:color="auto" w:fill="auto"/>
            <w:vAlign w:val="center"/>
          </w:tcPr>
          <w:p w14:paraId="4CB12826">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修订</w:t>
            </w:r>
          </w:p>
        </w:tc>
        <w:tc>
          <w:tcPr>
            <w:tcW w:w="1757" w:type="dxa"/>
            <w:vAlign w:val="center"/>
          </w:tcPr>
          <w:p w14:paraId="5A7E8CC1">
            <w:pPr>
              <w:jc w:val="both"/>
              <w:rPr>
                <w:rFonts w:hint="default"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t>修订原因：</w:t>
            </w:r>
            <w:r>
              <w:rPr>
                <w:rFonts w:hint="eastAsia" w:ascii="Times New Roman" w:hAnsi="Times New Roman" w:cs="Times New Roman"/>
                <w:b w:val="0"/>
                <w:bCs w:val="0"/>
                <w:color w:val="000000" w:themeColor="text1"/>
                <w:sz w:val="18"/>
                <w:szCs w:val="21"/>
                <w:highlight w:val="none"/>
                <w:vertAlign w:val="baseline"/>
                <w:lang w:val="en-US" w:eastAsia="zh-CN"/>
                <w14:textFill>
                  <w14:solidFill>
                    <w14:schemeClr w14:val="tx1"/>
                  </w14:solidFill>
                </w14:textFill>
              </w:rPr>
              <w:t>标准中引用的多项标准GB/T 25000.51-2010、SJ/T 11617、SJ/T 11618、SJ/T 11619等均已废止；标准文本编写不符合GB/T 1.1等相关标准格式要求。</w:t>
            </w:r>
          </w:p>
        </w:tc>
      </w:tr>
      <w:tr w14:paraId="2304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27" w:type="dxa"/>
            <w:gridSpan w:val="7"/>
            <w:vAlign w:val="center"/>
          </w:tcPr>
          <w:p w14:paraId="4F16B898">
            <w:pPr>
              <w:jc w:val="center"/>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pPr>
            <w:r>
              <w:rPr>
                <w:rFonts w:hint="eastAsia" w:ascii="黑体" w:hAnsi="宋体" w:eastAsia="黑体" w:cs="黑体"/>
                <w:b/>
                <w:bCs/>
                <w:kern w:val="2"/>
                <w:sz w:val="24"/>
                <w:szCs w:val="24"/>
              </w:rPr>
              <w:t>复审结论为</w:t>
            </w:r>
            <w:r>
              <w:rPr>
                <w:rFonts w:hint="eastAsia" w:ascii="黑体" w:hAnsi="宋体" w:eastAsia="黑体" w:cs="黑体"/>
                <w:b/>
                <w:bCs/>
                <w:kern w:val="2"/>
                <w:sz w:val="24"/>
                <w:szCs w:val="24"/>
                <w:lang w:val="en-US" w:eastAsia="zh-CN"/>
              </w:rPr>
              <w:t>废止</w:t>
            </w:r>
            <w:r>
              <w:rPr>
                <w:rFonts w:hint="eastAsia" w:ascii="黑体" w:hAnsi="宋体" w:eastAsia="黑体" w:cs="黑体"/>
                <w:b/>
                <w:bCs/>
                <w:kern w:val="2"/>
                <w:sz w:val="24"/>
                <w:szCs w:val="24"/>
              </w:rPr>
              <w:t>的团体标准项目</w:t>
            </w:r>
          </w:p>
        </w:tc>
      </w:tr>
      <w:tr w14:paraId="4B28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4BD17159">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814" w:type="dxa"/>
            <w:vAlign w:val="center"/>
          </w:tcPr>
          <w:p w14:paraId="625CD7D6">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T/SDII 001—2022</w:t>
            </w:r>
          </w:p>
          <w:p w14:paraId="521E58AE">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T</w:t>
            </w:r>
            <w:r>
              <w:rPr>
                <w:rFonts w:hint="eastAsia" w:ascii="Times New Roman" w:hAnsi="Times New Roman" w:cs="Times New Roman"/>
                <w:highlight w:val="none"/>
                <w:vertAlign w:val="baseline"/>
                <w:lang w:val="en-US" w:eastAsia="zh-CN"/>
              </w:rPr>
              <w:t>/</w:t>
            </w:r>
            <w:r>
              <w:rPr>
                <w:rFonts w:hint="default" w:ascii="Times New Roman" w:hAnsi="Times New Roman" w:cs="Times New Roman"/>
                <w:highlight w:val="none"/>
                <w:vertAlign w:val="baseline"/>
                <w:lang w:val="en-US" w:eastAsia="zh-CN"/>
              </w:rPr>
              <w:t>SDAETT 001-2022</w:t>
            </w:r>
          </w:p>
        </w:tc>
        <w:tc>
          <w:tcPr>
            <w:tcW w:w="2948" w:type="dxa"/>
            <w:vAlign w:val="center"/>
          </w:tcPr>
          <w:p w14:paraId="5C54B7FC">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《煤化工“四型”工厂建设规范》</w:t>
            </w:r>
          </w:p>
        </w:tc>
        <w:tc>
          <w:tcPr>
            <w:tcW w:w="3572" w:type="dxa"/>
            <w:vAlign w:val="center"/>
          </w:tcPr>
          <w:p w14:paraId="0E46E5EF">
            <w:pPr>
              <w:jc w:val="both"/>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本文件规定了煤化工“四型”工厂建设总则、内容及要求。</w:t>
            </w:r>
          </w:p>
          <w:p w14:paraId="4C512D77">
            <w:pPr>
              <w:jc w:val="both"/>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本文件适用于煤化工“四型”工厂的建设。</w:t>
            </w:r>
          </w:p>
        </w:tc>
        <w:tc>
          <w:tcPr>
            <w:tcW w:w="2381" w:type="dxa"/>
            <w:vAlign w:val="center"/>
          </w:tcPr>
          <w:p w14:paraId="3B6A4848">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山东能源化工公司</w:t>
            </w:r>
          </w:p>
        </w:tc>
        <w:tc>
          <w:tcPr>
            <w:tcW w:w="1077" w:type="dxa"/>
            <w:vAlign w:val="center"/>
          </w:tcPr>
          <w:p w14:paraId="031BAEB9">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b/>
                <w:bCs/>
                <w:color w:val="000000" w:themeColor="text1"/>
                <w:sz w:val="21"/>
                <w:szCs w:val="20"/>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1757" w:type="dxa"/>
            <w:vAlign w:val="center"/>
          </w:tcPr>
          <w:p w14:paraId="6AD03194">
            <w:pPr>
              <w:jc w:val="both"/>
              <w:rPr>
                <w:rFonts w:hint="default" w:ascii="Times New Roman" w:hAnsi="Times New Roman" w:cs="Times New Roman"/>
                <w:color w:val="000000" w:themeColor="text1"/>
                <w:sz w:val="18"/>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18"/>
                <w:szCs w:val="21"/>
                <w:highlight w:val="none"/>
                <w:vertAlign w:val="baseline"/>
                <w:lang w:val="en-US" w:eastAsia="zh-CN"/>
                <w14:textFill>
                  <w14:solidFill>
                    <w14:schemeClr w14:val="tx1"/>
                  </w14:solidFill>
                </w14:textFill>
              </w:rPr>
              <w:t>废止原因：</w:t>
            </w:r>
            <w:r>
              <w:rPr>
                <w:rFonts w:hint="eastAsia" w:ascii="Times New Roman" w:hAnsi="Times New Roman" w:cs="Times New Roman"/>
                <w:b w:val="0"/>
                <w:bCs w:val="0"/>
                <w:color w:val="000000" w:themeColor="text1"/>
                <w:sz w:val="18"/>
                <w:szCs w:val="21"/>
                <w:highlight w:val="none"/>
                <w:vertAlign w:val="baseline"/>
                <w:lang w:val="en-US" w:eastAsia="zh-CN"/>
                <w14:textFill>
                  <w14:solidFill>
                    <w14:schemeClr w14:val="tx1"/>
                  </w14:solidFill>
                </w14:textFill>
              </w:rPr>
              <w:t>标准起草单位已撤销，相关起草人员已不</w:t>
            </w:r>
            <w:bookmarkStart w:id="0" w:name="_GoBack"/>
            <w:bookmarkEnd w:id="0"/>
            <w:r>
              <w:rPr>
                <w:rFonts w:hint="eastAsia" w:ascii="Times New Roman" w:hAnsi="Times New Roman" w:cs="Times New Roman"/>
                <w:b w:val="0"/>
                <w:bCs w:val="0"/>
                <w:color w:val="000000" w:themeColor="text1"/>
                <w:sz w:val="18"/>
                <w:szCs w:val="21"/>
                <w:highlight w:val="none"/>
                <w:vertAlign w:val="baseline"/>
                <w:lang w:val="en-US" w:eastAsia="zh-CN"/>
                <w14:textFill>
                  <w14:solidFill>
                    <w14:schemeClr w14:val="tx1"/>
                  </w14:solidFill>
                </w14:textFill>
              </w:rPr>
              <w:t>在原岗位，无法支持标准后续修订及维护工作。</w:t>
            </w:r>
          </w:p>
        </w:tc>
      </w:tr>
    </w:tbl>
    <w:p w14:paraId="69B4D94E">
      <w:pPr>
        <w:numPr>
          <w:ilvl w:val="0"/>
          <w:numId w:val="0"/>
        </w:numPr>
        <w:rPr>
          <w:rFonts w:hint="default"/>
          <w:lang w:val="en-US" w:eastAsia="zh-CN"/>
        </w:rPr>
      </w:pPr>
    </w:p>
    <w:sectPr>
      <w:pgSz w:w="16838" w:h="11906" w:orient="landscape"/>
      <w:pgMar w:top="1587" w:right="1043" w:bottom="1474" w:left="11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F60DD5"/>
    <w:multiLevelType w:val="singleLevel"/>
    <w:tmpl w:val="71F60DD5"/>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25505"/>
    <w:rsid w:val="013130DA"/>
    <w:rsid w:val="02B33A18"/>
    <w:rsid w:val="031C1B1C"/>
    <w:rsid w:val="052E0CB9"/>
    <w:rsid w:val="0A7D07A5"/>
    <w:rsid w:val="13A10768"/>
    <w:rsid w:val="13B93579"/>
    <w:rsid w:val="149B03E7"/>
    <w:rsid w:val="161838BE"/>
    <w:rsid w:val="17550AC3"/>
    <w:rsid w:val="1A276D85"/>
    <w:rsid w:val="1D780A56"/>
    <w:rsid w:val="1E2C0BDF"/>
    <w:rsid w:val="261D447E"/>
    <w:rsid w:val="28DA7678"/>
    <w:rsid w:val="2BC4694B"/>
    <w:rsid w:val="2BE821C7"/>
    <w:rsid w:val="2E7A597B"/>
    <w:rsid w:val="32383DAC"/>
    <w:rsid w:val="3CCA5F47"/>
    <w:rsid w:val="430914E5"/>
    <w:rsid w:val="43B46ABB"/>
    <w:rsid w:val="4A372126"/>
    <w:rsid w:val="4C3A583A"/>
    <w:rsid w:val="524B453F"/>
    <w:rsid w:val="5281024B"/>
    <w:rsid w:val="58D76ABF"/>
    <w:rsid w:val="602079E4"/>
    <w:rsid w:val="60231B89"/>
    <w:rsid w:val="64B52AB4"/>
    <w:rsid w:val="661A727D"/>
    <w:rsid w:val="6AA940E1"/>
    <w:rsid w:val="6DC47710"/>
    <w:rsid w:val="6E064F1B"/>
    <w:rsid w:val="6ED70108"/>
    <w:rsid w:val="727F3C19"/>
    <w:rsid w:val="76760624"/>
    <w:rsid w:val="796824C6"/>
    <w:rsid w:val="7E681C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570" w:lineRule="exact"/>
      <w:ind w:firstLine="562"/>
      <w:outlineLvl w:val="1"/>
    </w:pPr>
    <w:rPr>
      <w:rFonts w:ascii="楷体_GB2312" w:hAnsi="楷体_GB2312" w:eastAsia="楷体_GB2312" w:cs="Times New Roman"/>
      <w:sz w:val="32"/>
      <w:szCs w:val="28"/>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616</Words>
  <Characters>665</Characters>
  <Lines>1</Lines>
  <Paragraphs>1</Paragraphs>
  <TotalTime>2</TotalTime>
  <ScaleCrop>false</ScaleCrop>
  <LinksUpToDate>false</LinksUpToDate>
  <CharactersWithSpaces>671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2026-07-20T07:49:00Z</dcterms:created>
  <dc:creator>han</dc:creator>
  <cp:lastModifiedBy>刘乐</cp:lastModifiedBy>
  <dcterms:modified xsi:type="dcterms:W3CDTF">2026-10-09T06:59:00Z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eyJoZGlkIjoiMGE4MzY0YmMxMzRhMzY1OTAwMDllZjE0ZDUyNTRhZmYiLCJ1c2VySWQiOiIxMTc3NTUwMTM5In0=</vt:lpwstr>
  </property>
  <property fmtid="{D5CDD505-2E9C-101B-9397-08002B2CF9AE}" pid="4" name="ICV">
    <vt:lpwstr>CE83F61E3F8547809083943AE8B8F852_12</vt:lpwstr>
  </property>
</Properties>
</file>