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58BE5">
      <w:pPr>
        <w:spacing w:line="579" w:lineRule="exact"/>
        <w:rPr>
          <w:rFonts w:hint="eastAsia" w:ascii="黑体" w:hAnsi="黑体" w:eastAsia="黑体" w:cs="黑体"/>
          <w:sz w:val="24"/>
          <w:szCs w:val="22"/>
          <w:lang w:val="en-US" w:eastAsia="zh-CN"/>
        </w:rPr>
      </w:pPr>
      <w:r>
        <w:rPr>
          <w:rFonts w:hint="eastAsia" w:ascii="黑体" w:hAnsi="黑体" w:eastAsia="黑体" w:cs="黑体"/>
          <w:sz w:val="32"/>
          <w:szCs w:val="28"/>
          <w:lang w:val="en-US" w:eastAsia="zh-CN"/>
        </w:rPr>
        <w:t>附件</w:t>
      </w:r>
    </w:p>
    <w:p w14:paraId="4DE7EECB">
      <w:pPr>
        <w:keepNext w:val="0"/>
        <w:keepLines w:val="0"/>
        <w:pageBreakBefore w:val="0"/>
        <w:widowControl w:val="0"/>
        <w:kinsoku/>
        <w:wordWrap/>
        <w:overflowPunct/>
        <w:topLinePunct w:val="0"/>
        <w:autoSpaceDE/>
        <w:autoSpaceDN/>
        <w:bidi w:val="0"/>
        <w:adjustRightInd/>
        <w:snapToGrid/>
        <w:spacing w:after="313" w:afterLines="100" w:line="579" w:lineRule="exact"/>
        <w:jc w:val="center"/>
        <w:textAlignment w:val="auto"/>
        <w:rPr>
          <w:rFonts w:hint="default"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山东电子学会团体标准集中复审结论建议表</w:t>
      </w:r>
    </w:p>
    <w:tbl>
      <w:tblPr>
        <w:tblStyle w:val="5"/>
        <w:tblW w:w="14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531"/>
        <w:gridCol w:w="2948"/>
        <w:gridCol w:w="3572"/>
        <w:gridCol w:w="2381"/>
        <w:gridCol w:w="680"/>
        <w:gridCol w:w="2891"/>
      </w:tblGrid>
      <w:tr w14:paraId="4E1A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06ACF929">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序号</w:t>
            </w:r>
          </w:p>
        </w:tc>
        <w:tc>
          <w:tcPr>
            <w:tcW w:w="1531" w:type="dxa"/>
            <w:vAlign w:val="center"/>
          </w:tcPr>
          <w:p w14:paraId="42AD3952">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标准编号</w:t>
            </w:r>
          </w:p>
        </w:tc>
        <w:tc>
          <w:tcPr>
            <w:tcW w:w="2948" w:type="dxa"/>
            <w:vAlign w:val="center"/>
          </w:tcPr>
          <w:p w14:paraId="1C21CC9A">
            <w:pPr>
              <w:jc w:val="center"/>
              <w:rPr>
                <w:rFonts w:hint="eastAsia" w:ascii="黑体" w:hAnsi="黑体" w:eastAsia="黑体" w:cs="黑体"/>
                <w:vertAlign w:val="baseline"/>
                <w:lang w:val="en-US" w:eastAsia="zh-CN"/>
              </w:rPr>
            </w:pPr>
            <w:r>
              <w:rPr>
                <w:rFonts w:hint="eastAsia" w:ascii="黑体" w:hAnsi="黑体" w:eastAsia="黑体" w:cs="黑体"/>
                <w:vertAlign w:val="baseline"/>
                <w:lang w:val="en-US" w:eastAsia="zh-CN"/>
              </w:rPr>
              <w:t>标准名称</w:t>
            </w:r>
          </w:p>
        </w:tc>
        <w:tc>
          <w:tcPr>
            <w:tcW w:w="3572" w:type="dxa"/>
            <w:vAlign w:val="center"/>
          </w:tcPr>
          <w:p w14:paraId="2DC7E730">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适用范围</w:t>
            </w:r>
          </w:p>
        </w:tc>
        <w:tc>
          <w:tcPr>
            <w:tcW w:w="2381" w:type="dxa"/>
            <w:vAlign w:val="center"/>
          </w:tcPr>
          <w:p w14:paraId="07EB2E9E">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起草单位</w:t>
            </w:r>
          </w:p>
        </w:tc>
        <w:tc>
          <w:tcPr>
            <w:tcW w:w="680" w:type="dxa"/>
            <w:vAlign w:val="center"/>
          </w:tcPr>
          <w:p w14:paraId="737D522B">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建议复审结论</w:t>
            </w:r>
          </w:p>
        </w:tc>
        <w:tc>
          <w:tcPr>
            <w:tcW w:w="2891" w:type="dxa"/>
            <w:vAlign w:val="center"/>
          </w:tcPr>
          <w:p w14:paraId="5A508F57">
            <w:pPr>
              <w:jc w:val="center"/>
              <w:rPr>
                <w:rFonts w:hint="default" w:ascii="黑体" w:hAnsi="黑体" w:eastAsia="黑体" w:cs="黑体"/>
                <w:vertAlign w:val="baseline"/>
                <w:lang w:val="en-US" w:eastAsia="zh-CN"/>
              </w:rPr>
            </w:pPr>
            <w:r>
              <w:rPr>
                <w:rFonts w:hint="eastAsia" w:ascii="黑体" w:hAnsi="黑体" w:eastAsia="黑体" w:cs="黑体"/>
                <w:vertAlign w:val="baseline"/>
                <w:lang w:val="en-US" w:eastAsia="zh-CN"/>
              </w:rPr>
              <w:t>备注</w:t>
            </w:r>
          </w:p>
        </w:tc>
      </w:tr>
      <w:tr w14:paraId="3673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571" w:type="dxa"/>
            <w:gridSpan w:val="7"/>
            <w:vAlign w:val="center"/>
          </w:tcPr>
          <w:p w14:paraId="3009BD51">
            <w:pPr>
              <w:jc w:val="center"/>
              <w:rPr>
                <w:rFonts w:hint="eastAsia" w:ascii="黑体" w:hAnsi="黑体" w:eastAsia="黑体" w:cs="黑体"/>
                <w:sz w:val="24"/>
                <w:szCs w:val="32"/>
                <w:vertAlign w:val="baseline"/>
                <w:lang w:val="en-US" w:eastAsia="zh-CN"/>
              </w:rPr>
            </w:pPr>
            <w:r>
              <w:rPr>
                <w:rFonts w:hint="eastAsia" w:ascii="黑体" w:hAnsi="黑体" w:eastAsia="黑体" w:cs="黑体"/>
                <w:b/>
                <w:bCs/>
                <w:sz w:val="24"/>
                <w:szCs w:val="32"/>
                <w:vertAlign w:val="baseline"/>
                <w:lang w:val="en-US" w:eastAsia="zh-CN"/>
              </w:rPr>
              <w:t>复审结论为继续有效的团体标准项目</w:t>
            </w:r>
          </w:p>
        </w:tc>
      </w:tr>
      <w:tr w14:paraId="687A8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10F8D2F2">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4F809EB3">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T/SDIE 9-2019</w:t>
            </w:r>
          </w:p>
        </w:tc>
        <w:tc>
          <w:tcPr>
            <w:tcW w:w="2948" w:type="dxa"/>
            <w:shd w:val="clear" w:color="auto" w:fill="auto"/>
            <w:vAlign w:val="center"/>
          </w:tcPr>
          <w:p w14:paraId="23AF489C">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《工业级3D打印铣削复合机》</w:t>
            </w:r>
          </w:p>
        </w:tc>
        <w:tc>
          <w:tcPr>
            <w:tcW w:w="3572" w:type="dxa"/>
            <w:shd w:val="clear" w:color="auto" w:fill="auto"/>
            <w:vAlign w:val="center"/>
          </w:tcPr>
          <w:p w14:paraId="6276165E">
            <w:pPr>
              <w:jc w:val="left"/>
              <w:rPr>
                <w:rFonts w:hint="default" w:ascii="Times New Roman" w:hAnsi="Times New Roman" w:cs="Times New Roman"/>
                <w:highlight w:val="none"/>
                <w:vertAlign w:val="baseline"/>
                <w:lang w:val="en-US" w:eastAsia="zh-CN"/>
              </w:rPr>
            </w:pPr>
            <w:r>
              <w:rPr>
                <w:rFonts w:hint="eastAsia" w:ascii="Times New Roman" w:hAnsi="Times New Roman" w:cs="Times New Roman"/>
                <w:highlight w:val="none"/>
                <w:vertAlign w:val="baseline"/>
                <w:lang w:val="en-US" w:eastAsia="zh-CN"/>
              </w:rPr>
              <w:t>本标准规定了工业级3D 打印铣削复合机的型号，参数、要求、试验方法、检验规则、标志、包装、运输和贮存。</w:t>
            </w:r>
          </w:p>
          <w:p w14:paraId="21F4B5B5">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highlight w:val="none"/>
                <w:vertAlign w:val="baseline"/>
                <w:lang w:val="en-US" w:eastAsia="zh-CN"/>
              </w:rPr>
              <w:t>本标准适用于本公司生产的工业级3D 打印铣削复合机（以下简称机器）。</w:t>
            </w:r>
          </w:p>
        </w:tc>
        <w:tc>
          <w:tcPr>
            <w:tcW w:w="2381" w:type="dxa"/>
            <w:shd w:val="clear" w:color="auto" w:fill="auto"/>
            <w:vAlign w:val="center"/>
          </w:tcPr>
          <w:p w14:paraId="3D719787">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山东晨灿机械设备股份有限公司</w:t>
            </w:r>
          </w:p>
        </w:tc>
        <w:tc>
          <w:tcPr>
            <w:tcW w:w="680" w:type="dxa"/>
            <w:shd w:val="clear" w:color="auto" w:fill="auto"/>
            <w:vAlign w:val="center"/>
          </w:tcPr>
          <w:p w14:paraId="1F28A972">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楷体_GB2312" w:cs="Times New Roman"/>
                <w:kern w:val="2"/>
                <w:sz w:val="32"/>
                <w:szCs w:val="28"/>
                <w:highlight w:val="none"/>
                <w:vertAlign w:val="baseline"/>
                <w:lang w:val="en-US" w:eastAsia="zh-CN" w:bidi="ar-SA"/>
              </w:rPr>
            </w:pPr>
            <w:r>
              <w:rPr>
                <w:rFonts w:hint="eastAsia" w:ascii="Times New Roman" w:hAnsi="Times New Roman" w:cs="Times New Roman"/>
                <w:b/>
                <w:bCs/>
                <w:color w:val="000000" w:themeColor="text1"/>
                <w:sz w:val="21"/>
                <w:szCs w:val="20"/>
                <w:highlight w:val="none"/>
                <w:vertAlign w:val="baseline"/>
                <w:lang w:val="en-US" w:eastAsia="zh-CN"/>
                <w14:textFill>
                  <w14:solidFill>
                    <w14:schemeClr w14:val="tx1"/>
                  </w14:solidFill>
                </w14:textFill>
              </w:rPr>
              <w:t>继续有效</w:t>
            </w:r>
          </w:p>
        </w:tc>
        <w:tc>
          <w:tcPr>
            <w:tcW w:w="2891" w:type="dxa"/>
            <w:vAlign w:val="center"/>
          </w:tcPr>
          <w:p w14:paraId="494F807D">
            <w:pPr>
              <w:jc w:val="center"/>
              <w:rPr>
                <w:rFonts w:hint="eastAsia" w:ascii="黑体" w:hAnsi="黑体" w:eastAsia="黑体" w:cs="黑体"/>
                <w:vertAlign w:val="baseline"/>
                <w:lang w:val="en-US" w:eastAsia="zh-CN"/>
              </w:rPr>
            </w:pPr>
          </w:p>
        </w:tc>
      </w:tr>
      <w:tr w14:paraId="7FB41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0AB1AF72">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2513B4F4">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T/SDIE 10-2019</w:t>
            </w:r>
          </w:p>
        </w:tc>
        <w:tc>
          <w:tcPr>
            <w:tcW w:w="2948" w:type="dxa"/>
            <w:shd w:val="clear" w:color="auto" w:fill="auto"/>
            <w:vAlign w:val="center"/>
          </w:tcPr>
          <w:p w14:paraId="3B027FE3">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《农业水价综合管理平台技术规范》</w:t>
            </w:r>
          </w:p>
        </w:tc>
        <w:tc>
          <w:tcPr>
            <w:tcW w:w="3572" w:type="dxa"/>
            <w:shd w:val="clear" w:color="auto" w:fill="auto"/>
            <w:vAlign w:val="center"/>
          </w:tcPr>
          <w:p w14:paraId="6F55A169">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本标准规定了农业水价综合管理平台的体系架构、平台功能、性能要求、数据存储与备份、安全防护、运行环境。</w:t>
            </w:r>
          </w:p>
          <w:p w14:paraId="451637CB">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highlight w:val="none"/>
                <w:vertAlign w:val="baseline"/>
                <w:lang w:val="en-US" w:eastAsia="zh-CN"/>
              </w:rPr>
              <w:t>本标准适用于农业水价综合管理平台的设计、开发、建设、运行、服务和管理。</w:t>
            </w:r>
          </w:p>
        </w:tc>
        <w:tc>
          <w:tcPr>
            <w:tcW w:w="2381" w:type="dxa"/>
            <w:shd w:val="clear" w:color="auto" w:fill="auto"/>
            <w:vAlign w:val="center"/>
          </w:tcPr>
          <w:p w14:paraId="7A7C2C29">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山东开创云计算有限公司</w:t>
            </w:r>
          </w:p>
        </w:tc>
        <w:tc>
          <w:tcPr>
            <w:tcW w:w="680" w:type="dxa"/>
            <w:shd w:val="clear" w:color="auto" w:fill="auto"/>
            <w:vAlign w:val="center"/>
          </w:tcPr>
          <w:p w14:paraId="663063A6">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2ADE266D">
            <w:pPr>
              <w:jc w:val="center"/>
              <w:rPr>
                <w:rFonts w:hint="eastAsia" w:ascii="黑体" w:hAnsi="黑体" w:eastAsia="黑体" w:cs="黑体"/>
                <w:vertAlign w:val="baseline"/>
                <w:lang w:val="en-US" w:eastAsia="zh-CN"/>
              </w:rPr>
            </w:pPr>
          </w:p>
        </w:tc>
      </w:tr>
      <w:tr w14:paraId="1430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0E50CC02">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6F7CB4F0">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T/SDIE 11-2019</w:t>
            </w:r>
          </w:p>
        </w:tc>
        <w:tc>
          <w:tcPr>
            <w:tcW w:w="2948" w:type="dxa"/>
            <w:shd w:val="clear" w:color="auto" w:fill="auto"/>
            <w:vAlign w:val="center"/>
          </w:tcPr>
          <w:p w14:paraId="01E06FBC">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《农业水价综合管理平台数据传输协议》</w:t>
            </w:r>
          </w:p>
        </w:tc>
        <w:tc>
          <w:tcPr>
            <w:tcW w:w="3572" w:type="dxa"/>
            <w:shd w:val="clear" w:color="auto" w:fill="auto"/>
            <w:vAlign w:val="center"/>
          </w:tcPr>
          <w:p w14:paraId="51D58851">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本标准规定了农业水价综合管理平台的通信方式、通信格式、平台传输架构、协议层次、通信流程、</w:t>
            </w:r>
          </w:p>
          <w:p w14:paraId="3BE964DB">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数据传输协议、超时重发机制。</w:t>
            </w:r>
          </w:p>
          <w:p w14:paraId="56E60F02">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highlight w:val="none"/>
                <w:vertAlign w:val="baseline"/>
                <w:lang w:val="en-US" w:eastAsia="zh-CN"/>
              </w:rPr>
              <w:t>本标准适用于农业水价综合管理平台的硬件数据与软件交换传输。</w:t>
            </w:r>
          </w:p>
        </w:tc>
        <w:tc>
          <w:tcPr>
            <w:tcW w:w="2381" w:type="dxa"/>
            <w:shd w:val="clear" w:color="auto" w:fill="auto"/>
            <w:vAlign w:val="center"/>
          </w:tcPr>
          <w:p w14:paraId="49E4F79E">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山东开创云计算有限公司</w:t>
            </w:r>
          </w:p>
        </w:tc>
        <w:tc>
          <w:tcPr>
            <w:tcW w:w="680" w:type="dxa"/>
            <w:shd w:val="clear" w:color="auto" w:fill="auto"/>
            <w:vAlign w:val="center"/>
          </w:tcPr>
          <w:p w14:paraId="1457F891">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230B8AE5">
            <w:pPr>
              <w:jc w:val="center"/>
              <w:rPr>
                <w:rFonts w:hint="eastAsia" w:ascii="黑体" w:hAnsi="黑体" w:eastAsia="黑体" w:cs="黑体"/>
                <w:vertAlign w:val="baseline"/>
                <w:lang w:val="en-US" w:eastAsia="zh-CN"/>
              </w:rPr>
            </w:pPr>
          </w:p>
        </w:tc>
      </w:tr>
      <w:tr w14:paraId="22B8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53C22DBB">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33261BAC">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T/SDIE 12-2019</w:t>
            </w:r>
          </w:p>
        </w:tc>
        <w:tc>
          <w:tcPr>
            <w:tcW w:w="2948" w:type="dxa"/>
            <w:shd w:val="clear" w:color="auto" w:fill="auto"/>
            <w:vAlign w:val="center"/>
          </w:tcPr>
          <w:p w14:paraId="2ECE2546">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《智慧河湖长制综合管理平台技术规范》</w:t>
            </w:r>
          </w:p>
        </w:tc>
        <w:tc>
          <w:tcPr>
            <w:tcW w:w="3572" w:type="dxa"/>
            <w:shd w:val="clear" w:color="auto" w:fill="auto"/>
            <w:vAlign w:val="center"/>
          </w:tcPr>
          <w:p w14:paraId="585D7568">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本标准规定了智慧河湖长制综合管理平台的体系架构、平台功能、性能要求、数据存储与备份、安全防护、运行环境。</w:t>
            </w:r>
          </w:p>
          <w:p w14:paraId="320C3DB6">
            <w:pPr>
              <w:jc w:val="left"/>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本标准适用于智慧河湖长制综合管理平台的设计、开发、建设、运行、服务和管理。</w:t>
            </w:r>
          </w:p>
        </w:tc>
        <w:tc>
          <w:tcPr>
            <w:tcW w:w="2381" w:type="dxa"/>
            <w:shd w:val="clear" w:color="auto" w:fill="auto"/>
            <w:vAlign w:val="center"/>
          </w:tcPr>
          <w:p w14:paraId="3E5BB7D2">
            <w:pPr>
              <w:jc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lang w:val="en-US" w:eastAsia="zh-CN"/>
              </w:rPr>
              <w:t>山东开创云计算有限公司</w:t>
            </w:r>
          </w:p>
        </w:tc>
        <w:tc>
          <w:tcPr>
            <w:tcW w:w="680" w:type="dxa"/>
            <w:shd w:val="clear" w:color="auto" w:fill="auto"/>
            <w:vAlign w:val="center"/>
          </w:tcPr>
          <w:p w14:paraId="5FA1A8B4">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16F01EE4">
            <w:pPr>
              <w:jc w:val="center"/>
              <w:rPr>
                <w:rFonts w:hint="eastAsia" w:ascii="黑体" w:hAnsi="黑体" w:eastAsia="黑体" w:cs="黑体"/>
                <w:vertAlign w:val="baseline"/>
                <w:lang w:val="en-US" w:eastAsia="zh-CN"/>
              </w:rPr>
            </w:pPr>
          </w:p>
        </w:tc>
      </w:tr>
      <w:tr w14:paraId="10A0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5EC71727">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708FC42F">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T/SDIE 13-2019</w:t>
            </w:r>
          </w:p>
        </w:tc>
        <w:tc>
          <w:tcPr>
            <w:tcW w:w="2948" w:type="dxa"/>
            <w:shd w:val="clear" w:color="auto" w:fill="auto"/>
            <w:vAlign w:val="center"/>
          </w:tcPr>
          <w:p w14:paraId="2CFF4802">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《无人机载多光谱相机》</w:t>
            </w:r>
          </w:p>
        </w:tc>
        <w:tc>
          <w:tcPr>
            <w:tcW w:w="3572" w:type="dxa"/>
            <w:shd w:val="clear" w:color="auto" w:fill="auto"/>
            <w:vAlign w:val="center"/>
          </w:tcPr>
          <w:p w14:paraId="0679E2B4">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本标准规定了无人机载多光谱相机的要求、试验方法、检验规则及标志、包装、运输和贮存。</w:t>
            </w:r>
          </w:p>
          <w:p w14:paraId="18614DBB">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本标准适用于窄带滤光片型无人机载多光谱相机（以下简称“多光谱相机”）。</w:t>
            </w:r>
          </w:p>
        </w:tc>
        <w:tc>
          <w:tcPr>
            <w:tcW w:w="2381" w:type="dxa"/>
            <w:shd w:val="clear" w:color="auto" w:fill="auto"/>
            <w:vAlign w:val="center"/>
          </w:tcPr>
          <w:p w14:paraId="6F0CABC7">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长光禹辰信息技术与装备（青岛）有限公司</w:t>
            </w:r>
          </w:p>
        </w:tc>
        <w:tc>
          <w:tcPr>
            <w:tcW w:w="680" w:type="dxa"/>
            <w:shd w:val="clear" w:color="auto" w:fill="auto"/>
            <w:vAlign w:val="center"/>
          </w:tcPr>
          <w:p w14:paraId="04E43396">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0A7A3667">
            <w:pPr>
              <w:jc w:val="center"/>
              <w:rPr>
                <w:rFonts w:hint="eastAsia" w:ascii="黑体" w:hAnsi="黑体" w:eastAsia="黑体" w:cs="黑体"/>
                <w:vertAlign w:val="baseline"/>
                <w:lang w:val="en-US" w:eastAsia="zh-CN"/>
              </w:rPr>
            </w:pPr>
          </w:p>
        </w:tc>
      </w:tr>
      <w:tr w14:paraId="5473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2C3E3CCB">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5B1D1AB5">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14.1-2023</w:t>
            </w:r>
          </w:p>
        </w:tc>
        <w:tc>
          <w:tcPr>
            <w:tcW w:w="2948" w:type="dxa"/>
            <w:shd w:val="clear" w:color="auto" w:fill="auto"/>
            <w:vAlign w:val="center"/>
          </w:tcPr>
          <w:p w14:paraId="4B74C3D0">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《道路运输车辆主动安全智能防控系统 第1部分</w:t>
            </w: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eastAsiaTheme="minorEastAsia"/>
                <w:color w:val="000000"/>
                <w:kern w:val="0"/>
                <w:sz w:val="21"/>
                <w:szCs w:val="21"/>
                <w:highlight w:val="none"/>
                <w:lang w:val="en-US" w:eastAsia="zh-CN" w:bidi="ar"/>
              </w:rPr>
              <w:t>平台技术规范》</w:t>
            </w:r>
          </w:p>
        </w:tc>
        <w:tc>
          <w:tcPr>
            <w:tcW w:w="3572" w:type="dxa"/>
            <w:shd w:val="clear" w:color="auto" w:fill="auto"/>
            <w:vAlign w:val="center"/>
          </w:tcPr>
          <w:p w14:paraId="3BF04B39">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本文件规定了道路运输车辆主动安全智能防控系统架构，以及道路运输车辆主动安全智能防控系统中平台的功能要求、性能要求与技术要求。</w:t>
            </w:r>
          </w:p>
          <w:p w14:paraId="2FC7A33D">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本文件适用于道路运输车辆主动安全智能防控系统政府安全监管平台和企业安全监控平台的开发和建设。</w:t>
            </w:r>
          </w:p>
        </w:tc>
        <w:tc>
          <w:tcPr>
            <w:tcW w:w="2381" w:type="dxa"/>
            <w:shd w:val="clear" w:color="auto" w:fill="auto"/>
            <w:vAlign w:val="center"/>
          </w:tcPr>
          <w:p w14:paraId="35A1C96C">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山东航天九通车联网有限公司</w:t>
            </w:r>
          </w:p>
        </w:tc>
        <w:tc>
          <w:tcPr>
            <w:tcW w:w="680" w:type="dxa"/>
            <w:shd w:val="clear" w:color="auto" w:fill="auto"/>
            <w:vAlign w:val="center"/>
          </w:tcPr>
          <w:p w14:paraId="3302EE34">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highlight w:val="none"/>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highlight w:val="none"/>
                <w:vertAlign w:val="baseline"/>
                <w:lang w:val="en-US" w:eastAsia="zh-CN"/>
                <w14:textFill>
                  <w14:solidFill>
                    <w14:schemeClr w14:val="tx1"/>
                  </w14:solidFill>
                </w14:textFill>
              </w:rPr>
              <w:t>继续有效</w:t>
            </w:r>
          </w:p>
        </w:tc>
        <w:tc>
          <w:tcPr>
            <w:tcW w:w="2891" w:type="dxa"/>
            <w:vAlign w:val="center"/>
          </w:tcPr>
          <w:p w14:paraId="50CD293C">
            <w:pPr>
              <w:jc w:val="center"/>
              <w:rPr>
                <w:rFonts w:hint="eastAsia" w:ascii="黑体" w:hAnsi="黑体" w:eastAsia="黑体" w:cs="黑体"/>
                <w:vertAlign w:val="baseline"/>
                <w:lang w:val="en-US" w:eastAsia="zh-CN"/>
              </w:rPr>
            </w:pPr>
          </w:p>
        </w:tc>
      </w:tr>
      <w:tr w14:paraId="40E2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0D268ADE">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5F9E0CCE">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14.3-2023</w:t>
            </w:r>
          </w:p>
        </w:tc>
        <w:tc>
          <w:tcPr>
            <w:tcW w:w="2948" w:type="dxa"/>
            <w:shd w:val="clear" w:color="auto" w:fill="auto"/>
            <w:vAlign w:val="center"/>
          </w:tcPr>
          <w:p w14:paraId="533B81EB">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《道路运输车辆主动安全智能防控系统 第3部分</w:t>
            </w: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eastAsiaTheme="minorEastAsia"/>
                <w:color w:val="000000"/>
                <w:kern w:val="0"/>
                <w:sz w:val="21"/>
                <w:szCs w:val="21"/>
                <w:highlight w:val="none"/>
                <w:lang w:val="en-US" w:eastAsia="zh-CN" w:bidi="ar"/>
              </w:rPr>
              <w:t>通讯协议规范》</w:t>
            </w:r>
          </w:p>
        </w:tc>
        <w:tc>
          <w:tcPr>
            <w:tcW w:w="3572" w:type="dxa"/>
            <w:shd w:val="clear" w:color="auto" w:fill="auto"/>
            <w:vAlign w:val="center"/>
          </w:tcPr>
          <w:p w14:paraId="269435E4">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本文件规定了主动安全智能防控系统车载终端(以下简称终端)与监管/监控平台(以下简称平台)之间的通信协议，包括协议基础、消息定义及数据格式。</w:t>
            </w:r>
          </w:p>
          <w:p w14:paraId="5B1B6028">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本文件适用于终端与平台之间传输主动安全报警数据。</w:t>
            </w:r>
          </w:p>
        </w:tc>
        <w:tc>
          <w:tcPr>
            <w:tcW w:w="2381" w:type="dxa"/>
            <w:shd w:val="clear" w:color="auto" w:fill="auto"/>
            <w:vAlign w:val="center"/>
          </w:tcPr>
          <w:p w14:paraId="53E9E4B6">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山东航天九通车联网有限公司</w:t>
            </w:r>
          </w:p>
        </w:tc>
        <w:tc>
          <w:tcPr>
            <w:tcW w:w="680" w:type="dxa"/>
            <w:shd w:val="clear" w:color="auto" w:fill="auto"/>
            <w:vAlign w:val="center"/>
          </w:tcPr>
          <w:p w14:paraId="15FE2462">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highlight w:val="none"/>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highlight w:val="none"/>
                <w:vertAlign w:val="baseline"/>
                <w:lang w:val="en-US" w:eastAsia="zh-CN"/>
                <w14:textFill>
                  <w14:solidFill>
                    <w14:schemeClr w14:val="tx1"/>
                  </w14:solidFill>
                </w14:textFill>
              </w:rPr>
              <w:t>继续有效</w:t>
            </w:r>
          </w:p>
        </w:tc>
        <w:tc>
          <w:tcPr>
            <w:tcW w:w="2891" w:type="dxa"/>
            <w:vAlign w:val="center"/>
          </w:tcPr>
          <w:p w14:paraId="1BD8AFAE">
            <w:pPr>
              <w:jc w:val="center"/>
              <w:rPr>
                <w:rFonts w:hint="eastAsia" w:ascii="黑体" w:hAnsi="黑体" w:eastAsia="黑体" w:cs="黑体"/>
                <w:vertAlign w:val="baseline"/>
                <w:lang w:val="en-US" w:eastAsia="zh-CN"/>
              </w:rPr>
            </w:pPr>
          </w:p>
        </w:tc>
      </w:tr>
      <w:tr w14:paraId="310C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25BC6D73">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0E087114">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16-2021</w:t>
            </w:r>
          </w:p>
        </w:tc>
        <w:tc>
          <w:tcPr>
            <w:tcW w:w="2948" w:type="dxa"/>
            <w:shd w:val="clear" w:color="auto" w:fill="auto"/>
            <w:vAlign w:val="center"/>
          </w:tcPr>
          <w:p w14:paraId="38112DF1">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《松材线</w:t>
            </w:r>
            <w:r>
              <w:rPr>
                <w:rFonts w:hint="eastAsia" w:ascii="Times New Roman" w:hAnsi="Times New Roman" w:cs="Times New Roman"/>
                <w:color w:val="000000"/>
                <w:kern w:val="0"/>
                <w:sz w:val="21"/>
                <w:szCs w:val="21"/>
                <w:highlight w:val="none"/>
                <w:lang w:val="en-US" w:eastAsia="zh-CN" w:bidi="ar"/>
              </w:rPr>
              <w:t>虫</w:t>
            </w:r>
            <w:r>
              <w:rPr>
                <w:rFonts w:hint="default" w:ascii="Times New Roman" w:hAnsi="Times New Roman" w:cs="Times New Roman" w:eastAsiaTheme="minorEastAsia"/>
                <w:color w:val="000000"/>
                <w:kern w:val="0"/>
                <w:sz w:val="21"/>
                <w:szCs w:val="21"/>
                <w:highlight w:val="none"/>
                <w:lang w:val="en-US" w:eastAsia="zh-CN" w:bidi="ar"/>
              </w:rPr>
              <w:t>病变色立木无人机多光谱遥感监测技术导则》</w:t>
            </w:r>
          </w:p>
        </w:tc>
        <w:tc>
          <w:tcPr>
            <w:tcW w:w="3572" w:type="dxa"/>
            <w:shd w:val="clear" w:color="auto" w:fill="auto"/>
            <w:vAlign w:val="center"/>
          </w:tcPr>
          <w:p w14:paraId="046E351C">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本文件给出了松材线虫病变色立木无人机多光谱遥感监测的系统组成及功能、数据获取计划制定、作业前准备、飞行作业与数据质量检查、数据处理与分析等作业规范的相关内容及要求。</w:t>
            </w:r>
          </w:p>
          <w:p w14:paraId="0D7DADF1">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本文件适用于松材线虫病变色立木无人机多光谱遥感监测。</w:t>
            </w:r>
          </w:p>
        </w:tc>
        <w:tc>
          <w:tcPr>
            <w:tcW w:w="2381" w:type="dxa"/>
            <w:shd w:val="clear" w:color="auto" w:fill="auto"/>
            <w:vAlign w:val="center"/>
          </w:tcPr>
          <w:p w14:paraId="51FAB969">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长光禹辰信息技术与装备（青岛）有限公司</w:t>
            </w:r>
          </w:p>
        </w:tc>
        <w:tc>
          <w:tcPr>
            <w:tcW w:w="680" w:type="dxa"/>
            <w:shd w:val="clear" w:color="auto" w:fill="auto"/>
            <w:vAlign w:val="center"/>
          </w:tcPr>
          <w:p w14:paraId="34148699">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05FD3964">
            <w:pPr>
              <w:jc w:val="center"/>
              <w:rPr>
                <w:rFonts w:hint="eastAsia" w:ascii="黑体" w:hAnsi="黑体" w:eastAsia="黑体" w:cs="黑体"/>
                <w:vertAlign w:val="baseline"/>
                <w:lang w:val="en-US" w:eastAsia="zh-CN"/>
              </w:rPr>
            </w:pPr>
          </w:p>
        </w:tc>
      </w:tr>
      <w:tr w14:paraId="01D2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6693849C">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1FCE88F8">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17-2023</w:t>
            </w:r>
          </w:p>
        </w:tc>
        <w:tc>
          <w:tcPr>
            <w:tcW w:w="2948" w:type="dxa"/>
            <w:shd w:val="clear" w:color="auto" w:fill="auto"/>
            <w:vAlign w:val="center"/>
          </w:tcPr>
          <w:p w14:paraId="15F8E526">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《商用车联网大数据监测与分析技术规范》</w:t>
            </w:r>
          </w:p>
        </w:tc>
        <w:tc>
          <w:tcPr>
            <w:tcW w:w="3572" w:type="dxa"/>
            <w:shd w:val="clear" w:color="auto" w:fill="auto"/>
            <w:vAlign w:val="center"/>
          </w:tcPr>
          <w:p w14:paraId="63553CC0">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本文件规定了商用车联网大数据监测与分析系统的术语定义、组成与功能、监测与运行、系统保障。</w:t>
            </w:r>
          </w:p>
          <w:p w14:paraId="28111058">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本文件适用于各种商用车联网大数据的监测与分析。</w:t>
            </w:r>
          </w:p>
        </w:tc>
        <w:tc>
          <w:tcPr>
            <w:tcW w:w="2381" w:type="dxa"/>
            <w:shd w:val="clear" w:color="auto" w:fill="auto"/>
            <w:vAlign w:val="center"/>
          </w:tcPr>
          <w:p w14:paraId="6D04E501">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山东大学</w:t>
            </w:r>
          </w:p>
        </w:tc>
        <w:tc>
          <w:tcPr>
            <w:tcW w:w="680" w:type="dxa"/>
            <w:shd w:val="clear" w:color="auto" w:fill="auto"/>
            <w:vAlign w:val="center"/>
          </w:tcPr>
          <w:p w14:paraId="24072B5E">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77300C99">
            <w:pPr>
              <w:jc w:val="center"/>
              <w:rPr>
                <w:rFonts w:hint="eastAsia" w:ascii="黑体" w:hAnsi="黑体" w:eastAsia="黑体" w:cs="黑体"/>
                <w:vertAlign w:val="baseline"/>
                <w:lang w:val="en-US" w:eastAsia="zh-CN"/>
              </w:rPr>
            </w:pPr>
          </w:p>
        </w:tc>
      </w:tr>
      <w:tr w14:paraId="17F0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095514D5">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3BF281F6">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18-2023</w:t>
            </w:r>
          </w:p>
        </w:tc>
        <w:tc>
          <w:tcPr>
            <w:tcW w:w="2948" w:type="dxa"/>
            <w:shd w:val="clear" w:color="auto" w:fill="auto"/>
            <w:vAlign w:val="center"/>
          </w:tcPr>
          <w:p w14:paraId="4E9B182A">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《国产数据库标准规范》</w:t>
            </w:r>
          </w:p>
        </w:tc>
        <w:tc>
          <w:tcPr>
            <w:tcW w:w="3572" w:type="dxa"/>
            <w:shd w:val="clear" w:color="auto" w:fill="auto"/>
            <w:vAlign w:val="center"/>
          </w:tcPr>
          <w:p w14:paraId="343A7362">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本文件给出了国产数据库高可用、国产数据库高性能、国产数据库一致性以及国产数据库在线扩展的标准规范。</w:t>
            </w:r>
          </w:p>
          <w:p w14:paraId="500B9458">
            <w:pPr>
              <w:jc w:val="left"/>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本文件提到的标准适用于数据库评估，也可用于指导数据库的研发和维护。</w:t>
            </w:r>
          </w:p>
        </w:tc>
        <w:tc>
          <w:tcPr>
            <w:tcW w:w="2381" w:type="dxa"/>
            <w:shd w:val="clear" w:color="auto" w:fill="auto"/>
            <w:vAlign w:val="center"/>
          </w:tcPr>
          <w:p w14:paraId="602B2712">
            <w:pPr>
              <w:jc w:val="center"/>
              <w:rPr>
                <w:rFonts w:hint="eastAsia"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郑州大学</w:t>
            </w:r>
          </w:p>
        </w:tc>
        <w:tc>
          <w:tcPr>
            <w:tcW w:w="680" w:type="dxa"/>
            <w:shd w:val="clear" w:color="auto" w:fill="auto"/>
            <w:vAlign w:val="center"/>
          </w:tcPr>
          <w:p w14:paraId="768A7A15">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继续有效</w:t>
            </w:r>
          </w:p>
        </w:tc>
        <w:tc>
          <w:tcPr>
            <w:tcW w:w="2891" w:type="dxa"/>
            <w:vAlign w:val="center"/>
          </w:tcPr>
          <w:p w14:paraId="24E17EDE">
            <w:pPr>
              <w:jc w:val="center"/>
              <w:rPr>
                <w:rFonts w:hint="eastAsia" w:ascii="黑体" w:hAnsi="黑体" w:eastAsia="黑体" w:cs="黑体"/>
                <w:vertAlign w:val="baseline"/>
                <w:lang w:val="en-US" w:eastAsia="zh-CN"/>
              </w:rPr>
            </w:pPr>
          </w:p>
        </w:tc>
      </w:tr>
      <w:tr w14:paraId="116B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571" w:type="dxa"/>
            <w:gridSpan w:val="7"/>
            <w:vAlign w:val="center"/>
          </w:tcPr>
          <w:p w14:paraId="60F56F28">
            <w:pPr>
              <w:jc w:val="center"/>
              <w:rPr>
                <w:rFonts w:hint="eastAsia" w:ascii="黑体" w:hAnsi="黑体" w:eastAsia="黑体" w:cs="黑体"/>
                <w:vertAlign w:val="baseline"/>
                <w:lang w:val="en-US" w:eastAsia="zh-CN"/>
              </w:rPr>
            </w:pPr>
            <w:r>
              <w:rPr>
                <w:rFonts w:hint="eastAsia" w:ascii="黑体" w:hAnsi="黑体" w:eastAsia="黑体" w:cs="黑体"/>
                <w:b/>
                <w:bCs/>
                <w:sz w:val="24"/>
                <w:szCs w:val="32"/>
                <w:vertAlign w:val="baseline"/>
                <w:lang w:val="en-US" w:eastAsia="zh-CN"/>
              </w:rPr>
              <w:t>复审结论为修订的团体标准项目</w:t>
            </w:r>
          </w:p>
        </w:tc>
      </w:tr>
      <w:tr w14:paraId="7724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8" w:type="dxa"/>
            <w:vAlign w:val="center"/>
          </w:tcPr>
          <w:p w14:paraId="56020B37">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eastAsia" w:ascii="Times New Roman" w:hAnsi="Times New Roman" w:cs="Times New Roman"/>
                <w:highlight w:val="none"/>
                <w:vertAlign w:val="baseline"/>
                <w:lang w:val="en-US" w:eastAsia="zh-CN"/>
              </w:rPr>
            </w:pPr>
          </w:p>
        </w:tc>
        <w:tc>
          <w:tcPr>
            <w:tcW w:w="1531" w:type="dxa"/>
            <w:shd w:val="clear" w:color="auto" w:fill="auto"/>
            <w:vAlign w:val="center"/>
          </w:tcPr>
          <w:p w14:paraId="3566E7DF">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color w:val="000000"/>
                <w:kern w:val="0"/>
                <w:sz w:val="21"/>
                <w:szCs w:val="21"/>
                <w:highlight w:val="none"/>
                <w:lang w:val="en-US" w:eastAsia="zh-CN" w:bidi="ar"/>
              </w:rPr>
              <w:t>T/SDIE</w:t>
            </w:r>
            <w:r>
              <w:rPr>
                <w:rFonts w:hint="default" w:ascii="Times New Roman" w:hAnsi="Times New Roman" w:cs="Times New Roman" w:eastAsiaTheme="minorEastAsia"/>
                <w:color w:val="000000"/>
                <w:kern w:val="0"/>
                <w:sz w:val="21"/>
                <w:szCs w:val="21"/>
                <w:highlight w:val="none"/>
                <w:lang w:val="en-US" w:eastAsia="zh-CN" w:bidi="ar"/>
              </w:rPr>
              <w:t xml:space="preserve"> 14.2-2023</w:t>
            </w:r>
          </w:p>
        </w:tc>
        <w:tc>
          <w:tcPr>
            <w:tcW w:w="2948" w:type="dxa"/>
            <w:shd w:val="clear" w:color="auto" w:fill="auto"/>
            <w:vAlign w:val="center"/>
          </w:tcPr>
          <w:p w14:paraId="3DC62CC4">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default"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eastAsiaTheme="minorEastAsia"/>
                <w:color w:val="000000"/>
                <w:kern w:val="0"/>
                <w:sz w:val="21"/>
                <w:szCs w:val="21"/>
                <w:highlight w:val="none"/>
                <w:lang w:val="en-US" w:eastAsia="zh-CN" w:bidi="ar"/>
              </w:rPr>
              <w:t>《道路运输车辆主动安全智能防控系统 第2部分</w:t>
            </w:r>
            <w:r>
              <w:rPr>
                <w:rFonts w:hint="eastAsia" w:ascii="Times New Roman" w:hAnsi="Times New Roman" w:cs="Times New Roman"/>
                <w:color w:val="000000"/>
                <w:kern w:val="0"/>
                <w:sz w:val="21"/>
                <w:szCs w:val="21"/>
                <w:highlight w:val="none"/>
                <w:lang w:val="en-US" w:eastAsia="zh-CN" w:bidi="ar"/>
              </w:rPr>
              <w:t>：</w:t>
            </w:r>
            <w:r>
              <w:rPr>
                <w:rFonts w:hint="default" w:ascii="Times New Roman" w:hAnsi="Times New Roman" w:cs="Times New Roman" w:eastAsiaTheme="minorEastAsia"/>
                <w:color w:val="000000"/>
                <w:kern w:val="0"/>
                <w:sz w:val="21"/>
                <w:szCs w:val="21"/>
                <w:highlight w:val="none"/>
                <w:lang w:val="en-US" w:eastAsia="zh-CN" w:bidi="ar"/>
              </w:rPr>
              <w:t>终端技术规范》</w:t>
            </w:r>
          </w:p>
        </w:tc>
        <w:tc>
          <w:tcPr>
            <w:tcW w:w="3572" w:type="dxa"/>
            <w:shd w:val="clear" w:color="auto" w:fill="auto"/>
            <w:vAlign w:val="center"/>
          </w:tcPr>
          <w:p w14:paraId="7F778B39">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本文件规定了道路运输车辆主动安全智能防控终端（以下简称终端）和外设的要求及测试方法。</w:t>
            </w:r>
          </w:p>
          <w:p w14:paraId="219D5F5B">
            <w:pPr>
              <w:jc w:val="left"/>
              <w:rPr>
                <w:rFonts w:hint="eastAsia" w:ascii="Times New Roman" w:hAnsi="Times New Roman" w:cs="Times New Roman" w:eastAsiaTheme="minorEastAsia"/>
                <w:color w:val="000000"/>
                <w:kern w:val="0"/>
                <w:sz w:val="21"/>
                <w:szCs w:val="21"/>
                <w:highlight w:val="none"/>
                <w:lang w:val="en-US" w:eastAsia="zh-CN" w:bidi="ar"/>
              </w:rPr>
            </w:pPr>
            <w:r>
              <w:rPr>
                <w:rFonts w:hint="default" w:ascii="Times New Roman" w:hAnsi="Times New Roman" w:cs="Times New Roman"/>
                <w:highlight w:val="none"/>
                <w:vertAlign w:val="baseline"/>
                <w:lang w:val="en-US" w:eastAsia="zh-CN"/>
              </w:rPr>
              <w:t>本文件适用于终端的设计、制造、安装和检测。</w:t>
            </w:r>
          </w:p>
        </w:tc>
        <w:tc>
          <w:tcPr>
            <w:tcW w:w="2381" w:type="dxa"/>
            <w:shd w:val="clear" w:color="auto" w:fill="auto"/>
            <w:vAlign w:val="center"/>
          </w:tcPr>
          <w:p w14:paraId="5451625E">
            <w:pPr>
              <w:jc w:val="center"/>
              <w:rPr>
                <w:rFonts w:hint="default" w:ascii="Times New Roman" w:hAnsi="Times New Roman" w:cs="Times New Roman" w:eastAsiaTheme="minorEastAsia"/>
                <w:kern w:val="2"/>
                <w:sz w:val="21"/>
                <w:szCs w:val="24"/>
                <w:highlight w:val="none"/>
                <w:vertAlign w:val="baseline"/>
                <w:lang w:val="en-US" w:eastAsia="zh-CN" w:bidi="ar-SA"/>
              </w:rPr>
            </w:pPr>
            <w:r>
              <w:rPr>
                <w:rFonts w:hint="default" w:ascii="Times New Roman" w:hAnsi="Times New Roman" w:cs="Times New Roman"/>
                <w:highlight w:val="none"/>
                <w:vertAlign w:val="baseline"/>
                <w:lang w:val="en-US" w:eastAsia="zh-CN"/>
              </w:rPr>
              <w:t>山东航天九通车联网有限公司</w:t>
            </w:r>
          </w:p>
        </w:tc>
        <w:tc>
          <w:tcPr>
            <w:tcW w:w="680" w:type="dxa"/>
            <w:shd w:val="clear" w:color="auto" w:fill="auto"/>
            <w:vAlign w:val="center"/>
          </w:tcPr>
          <w:p w14:paraId="37C36730">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楷体_GB2312" w:cs="Times New Roman"/>
                <w:b/>
                <w:bCs/>
                <w:color w:val="000000" w:themeColor="text1"/>
                <w:kern w:val="2"/>
                <w:sz w:val="21"/>
                <w:szCs w:val="20"/>
                <w:highlight w:val="none"/>
                <w:vertAlign w:val="baseline"/>
                <w:lang w:val="en-US" w:eastAsia="zh-CN" w:bidi="ar-SA"/>
                <w14:textFill>
                  <w14:solidFill>
                    <w14:schemeClr w14:val="tx1"/>
                  </w14:solidFill>
                </w14:textFill>
              </w:rPr>
            </w:pPr>
            <w:r>
              <w:rPr>
                <w:rFonts w:hint="eastAsia" w:ascii="Times New Roman" w:hAnsi="Times New Roman" w:cs="Times New Roman"/>
                <w:b/>
                <w:bCs/>
                <w:color w:val="000000" w:themeColor="text1"/>
                <w:sz w:val="21"/>
                <w:szCs w:val="20"/>
                <w:highlight w:val="none"/>
                <w:vertAlign w:val="baseline"/>
                <w:lang w:val="en-US" w:eastAsia="zh-CN"/>
                <w14:textFill>
                  <w14:solidFill>
                    <w14:schemeClr w14:val="tx1"/>
                  </w14:solidFill>
                </w14:textFill>
              </w:rPr>
              <w:t>修订</w:t>
            </w:r>
          </w:p>
        </w:tc>
        <w:tc>
          <w:tcPr>
            <w:tcW w:w="2891" w:type="dxa"/>
            <w:vAlign w:val="center"/>
          </w:tcPr>
          <w:p w14:paraId="05C7AEB2">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黑体" w:hAnsi="黑体" w:eastAsia="黑体" w:cs="黑体"/>
                <w:vertAlign w:val="baseline"/>
                <w:lang w:val="en-US" w:eastAsia="zh-CN"/>
              </w:rPr>
            </w:pPr>
            <w:r>
              <w:rPr>
                <w:rFonts w:hint="eastAsia" w:ascii="Times New Roman" w:hAnsi="Times New Roman" w:cs="Times New Roman"/>
                <w:b/>
                <w:bCs/>
                <w:color w:val="000000" w:themeColor="text1"/>
                <w:highlight w:val="none"/>
                <w:lang w:val="en-US" w:eastAsia="zh-CN"/>
                <w14:textFill>
                  <w14:solidFill>
                    <w14:schemeClr w14:val="tx1"/>
                  </w14:solidFill>
                </w14:textFill>
              </w:rPr>
              <w:t>修订原因：</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强制性国标GB 5768.3—2009版本已废止；GB/T 20815为强制性国标；部分编辑性问题等。</w:t>
            </w:r>
            <w:bookmarkStart w:id="0" w:name="_GoBack"/>
            <w:bookmarkEnd w:id="0"/>
          </w:p>
        </w:tc>
      </w:tr>
      <w:tr w14:paraId="0856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571" w:type="dxa"/>
            <w:gridSpan w:val="7"/>
            <w:vAlign w:val="center"/>
          </w:tcPr>
          <w:p w14:paraId="3708D6CC">
            <w:pPr>
              <w:jc w:val="center"/>
              <w:rPr>
                <w:rFonts w:hint="eastAsia" w:ascii="黑体" w:hAnsi="黑体" w:eastAsia="黑体" w:cs="黑体"/>
                <w:vertAlign w:val="baseline"/>
                <w:lang w:val="en-US" w:eastAsia="zh-CN"/>
              </w:rPr>
            </w:pPr>
            <w:r>
              <w:rPr>
                <w:rFonts w:hint="eastAsia" w:ascii="黑体" w:hAnsi="黑体" w:eastAsia="黑体" w:cs="黑体"/>
                <w:b/>
                <w:bCs/>
                <w:sz w:val="24"/>
                <w:szCs w:val="32"/>
                <w:vertAlign w:val="baseline"/>
                <w:lang w:val="en-US" w:eastAsia="zh-CN"/>
              </w:rPr>
              <w:t>复审结论为废止的团体标准项目</w:t>
            </w:r>
          </w:p>
        </w:tc>
      </w:tr>
      <w:tr w14:paraId="1706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568" w:type="dxa"/>
            <w:vAlign w:val="center"/>
          </w:tcPr>
          <w:p w14:paraId="28B09E63">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625CD7D6">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T/SDIE 2-2017</w:t>
            </w:r>
          </w:p>
        </w:tc>
        <w:tc>
          <w:tcPr>
            <w:tcW w:w="2948" w:type="dxa"/>
            <w:vAlign w:val="center"/>
          </w:tcPr>
          <w:p w14:paraId="5C54B7FC">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《农业物联网 第2部分</w:t>
            </w:r>
            <w:r>
              <w:rPr>
                <w:rFonts w:hint="eastAsia" w:ascii="Times New Roman" w:hAnsi="Times New Roman" w:cs="Times New Roman"/>
                <w:highlight w:val="none"/>
                <w:vertAlign w:val="baseline"/>
                <w:lang w:val="en-US" w:eastAsia="zh-CN"/>
              </w:rPr>
              <w:t>：</w:t>
            </w:r>
            <w:r>
              <w:rPr>
                <w:rFonts w:hint="default" w:ascii="Times New Roman" w:hAnsi="Times New Roman" w:cs="Times New Roman"/>
                <w:highlight w:val="none"/>
                <w:vertAlign w:val="baseline"/>
                <w:lang w:val="en-US" w:eastAsia="zh-CN"/>
              </w:rPr>
              <w:t>传感器通用技术规范》</w:t>
            </w:r>
          </w:p>
        </w:tc>
        <w:tc>
          <w:tcPr>
            <w:tcW w:w="3572" w:type="dxa"/>
            <w:vAlign w:val="center"/>
          </w:tcPr>
          <w:p w14:paraId="1BB948EE">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本标准规定了农业物联网传感器的通用技术规范。</w:t>
            </w:r>
          </w:p>
          <w:p w14:paraId="177359F8">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本标准适用于农业物联网传感器的设计、生产、测试和应用。</w:t>
            </w:r>
          </w:p>
        </w:tc>
        <w:tc>
          <w:tcPr>
            <w:tcW w:w="2381" w:type="dxa"/>
            <w:vAlign w:val="center"/>
          </w:tcPr>
          <w:p w14:paraId="3B6A4848">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山东省农业科学院科技信息研究所</w:t>
            </w:r>
          </w:p>
        </w:tc>
        <w:tc>
          <w:tcPr>
            <w:tcW w:w="680" w:type="dxa"/>
            <w:vAlign w:val="center"/>
          </w:tcPr>
          <w:p w14:paraId="45A13757">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cs="Times New Roman"/>
                <w:highlight w:val="none"/>
                <w:vertAlign w:val="baseline"/>
                <w:lang w:val="en-US" w:eastAsia="zh-CN"/>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Align w:val="center"/>
          </w:tcPr>
          <w:p w14:paraId="52B194B6">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废止原因：</w:t>
            </w:r>
            <w:r>
              <w:rPr>
                <w:rFonts w:hint="default" w:ascii="Times New Roman" w:hAnsi="Times New Roman" w:cs="Times New Roman"/>
                <w:color w:val="000000" w:themeColor="text1"/>
                <w:highlight w:val="none"/>
                <w:lang w:val="en-US" w:eastAsia="zh-CN"/>
                <w14:textFill>
                  <w14:solidFill>
                    <w14:schemeClr w14:val="tx1"/>
                  </w14:solidFill>
                </w14:textFill>
              </w:rPr>
              <w:t>标准起草单位已撤销，相关起草人员已不在原岗位，无法支持标准后续修订及维护工作</w:t>
            </w:r>
            <w:r>
              <w:rPr>
                <w:rFonts w:hint="eastAsia" w:ascii="Times New Roman" w:hAnsi="Times New Roman" w:cs="Times New Roman"/>
                <w:color w:val="000000" w:themeColor="text1"/>
                <w:highlight w:val="none"/>
                <w:lang w:val="en-US" w:eastAsia="zh-CN"/>
                <w14:textFill>
                  <w14:solidFill>
                    <w14:schemeClr w14:val="tx1"/>
                  </w14:solidFill>
                </w14:textFill>
              </w:rPr>
              <w:t>。</w:t>
            </w:r>
          </w:p>
        </w:tc>
      </w:tr>
      <w:tr w14:paraId="2596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568" w:type="dxa"/>
            <w:vAlign w:val="center"/>
          </w:tcPr>
          <w:p w14:paraId="060CE06D">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4CF3BCD1">
            <w:p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T/SDIE 3-2017</w:t>
            </w:r>
          </w:p>
        </w:tc>
        <w:tc>
          <w:tcPr>
            <w:tcW w:w="2948" w:type="dxa"/>
            <w:vAlign w:val="center"/>
          </w:tcPr>
          <w:p w14:paraId="2EDDB572">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《超高频电子标签性能测试规范》</w:t>
            </w:r>
          </w:p>
        </w:tc>
        <w:tc>
          <w:tcPr>
            <w:tcW w:w="3572" w:type="dxa"/>
            <w:vAlign w:val="center"/>
          </w:tcPr>
          <w:p w14:paraId="335B2869">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本标准规定了超高频标签性能测试的术语和定义、符号、代号和缩略语、性能要求、试验方法等内容。</w:t>
            </w:r>
          </w:p>
          <w:p w14:paraId="51C1C35C">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本标准适用于超高频860MHz～960MHz的标签测试工作。</w:t>
            </w:r>
          </w:p>
        </w:tc>
        <w:tc>
          <w:tcPr>
            <w:tcW w:w="2381" w:type="dxa"/>
            <w:vAlign w:val="center"/>
          </w:tcPr>
          <w:p w14:paraId="599C984D">
            <w:p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青岛山东大学创新发展中心（山东大学青岛校区）</w:t>
            </w:r>
          </w:p>
        </w:tc>
        <w:tc>
          <w:tcPr>
            <w:tcW w:w="680" w:type="dxa"/>
            <w:vAlign w:val="center"/>
          </w:tcPr>
          <w:p w14:paraId="482BF100">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4"/>
                <w:szCs w:val="22"/>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Align w:val="center"/>
          </w:tcPr>
          <w:p w14:paraId="585778C6">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cs="Times New Roman"/>
                <w:b/>
                <w:bCs/>
                <w:color w:val="000000" w:themeColor="text1"/>
                <w:sz w:val="24"/>
                <w:szCs w:val="22"/>
                <w:vertAlign w:val="baseli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废止原因：</w:t>
            </w:r>
            <w:r>
              <w:rPr>
                <w:rFonts w:hint="default" w:ascii="Times New Roman" w:hAnsi="Times New Roman" w:cs="Times New Roman"/>
                <w:color w:val="000000" w:themeColor="text1"/>
                <w:highlight w:val="none"/>
                <w:lang w:val="en-US" w:eastAsia="zh-CN"/>
                <w14:textFill>
                  <w14:solidFill>
                    <w14:schemeClr w14:val="tx1"/>
                  </w14:solidFill>
                </w14:textFill>
              </w:rPr>
              <w:t>本标准发布于2017年，现行国家标准已完整覆盖本团体标准全部测试技术内容</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lang w:val="en-US" w:eastAsia="zh-CN"/>
                <w14:textFill>
                  <w14:solidFill>
                    <w14:schemeClr w14:val="tx1"/>
                  </w14:solidFill>
                </w14:textFill>
              </w:rPr>
              <w:t>本标准已不适应新产品、新技术发展需要，标准技术要求低于当前技术发展平均水平。</w:t>
            </w:r>
          </w:p>
        </w:tc>
      </w:tr>
      <w:tr w14:paraId="3707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568" w:type="dxa"/>
            <w:vAlign w:val="center"/>
          </w:tcPr>
          <w:p w14:paraId="6ADEDC4E">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221E36FE">
            <w:p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T/SDIE 4-2020</w:t>
            </w:r>
          </w:p>
        </w:tc>
        <w:tc>
          <w:tcPr>
            <w:tcW w:w="2948" w:type="dxa"/>
            <w:vAlign w:val="center"/>
          </w:tcPr>
          <w:p w14:paraId="7FF42A60">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《通信运维手持式智能终端》</w:t>
            </w:r>
          </w:p>
        </w:tc>
        <w:tc>
          <w:tcPr>
            <w:tcW w:w="3572" w:type="dxa"/>
            <w:vAlign w:val="center"/>
          </w:tcPr>
          <w:p w14:paraId="2EA08B25">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本文件规定了通信运维行业手持式智能终端的要求、试验方法、检验规则、标志、使用说明书、包装、运输和贮存。</w:t>
            </w:r>
          </w:p>
          <w:p w14:paraId="0C4AECE7">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本文件适用于通信运维手持式智能终端（以下简称“终端”）。</w:t>
            </w:r>
          </w:p>
        </w:tc>
        <w:tc>
          <w:tcPr>
            <w:tcW w:w="2381" w:type="dxa"/>
            <w:vAlign w:val="center"/>
          </w:tcPr>
          <w:p w14:paraId="1341DB32">
            <w:p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山东信通电子股份有限公司</w:t>
            </w:r>
          </w:p>
        </w:tc>
        <w:tc>
          <w:tcPr>
            <w:tcW w:w="680" w:type="dxa"/>
            <w:vAlign w:val="center"/>
          </w:tcPr>
          <w:p w14:paraId="15F65B6A">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4"/>
                <w:szCs w:val="22"/>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Align w:val="center"/>
          </w:tcPr>
          <w:p w14:paraId="4B37D0E7">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cs="Times New Roman"/>
                <w:b/>
                <w:bCs/>
                <w:color w:val="000000" w:themeColor="text1"/>
                <w:sz w:val="24"/>
                <w:szCs w:val="22"/>
                <w:vertAlign w:val="baseli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废止原因：</w:t>
            </w:r>
            <w:r>
              <w:rPr>
                <w:rFonts w:hint="default" w:ascii="Times New Roman" w:hAnsi="Times New Roman" w:cs="Times New Roman"/>
                <w:color w:val="000000" w:themeColor="text1"/>
                <w:highlight w:val="none"/>
                <w:lang w:val="en-US" w:eastAsia="zh-CN"/>
                <w14:textFill>
                  <w14:solidFill>
                    <w14:schemeClr w14:val="tx1"/>
                  </w14:solidFill>
                </w14:textFill>
              </w:rPr>
              <w:t>团体标准编写时间较长，已与当前的一些定位不符，对应产品还在适应不同场景需求，短期内还无法定型，需要一个长久的适配过程，老团标已不适应新的变化，需要重新定义</w:t>
            </w:r>
            <w:r>
              <w:rPr>
                <w:rFonts w:hint="eastAsia" w:ascii="Times New Roman" w:hAnsi="Times New Roman" w:cs="Times New Roman"/>
                <w:color w:val="000000" w:themeColor="text1"/>
                <w:highlight w:val="none"/>
                <w:lang w:val="en-US" w:eastAsia="zh-CN"/>
                <w14:textFill>
                  <w14:solidFill>
                    <w14:schemeClr w14:val="tx1"/>
                  </w14:solidFill>
                </w14:textFill>
              </w:rPr>
              <w:t>。</w:t>
            </w:r>
          </w:p>
        </w:tc>
      </w:tr>
      <w:tr w14:paraId="0C84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68" w:type="dxa"/>
            <w:vAlign w:val="center"/>
          </w:tcPr>
          <w:p w14:paraId="563E29DA">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7B7238C0">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T/SDIE 5-2019</w:t>
            </w:r>
          </w:p>
        </w:tc>
        <w:tc>
          <w:tcPr>
            <w:tcW w:w="2948" w:type="dxa"/>
            <w:vAlign w:val="center"/>
          </w:tcPr>
          <w:p w14:paraId="45ED3FF2">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《果树物联网环境参数适</w:t>
            </w:r>
            <w:r>
              <w:rPr>
                <w:rFonts w:hint="eastAsia" w:ascii="Times New Roman" w:hAnsi="Times New Roman" w:cs="Times New Roman"/>
                <w:highlight w:val="none"/>
                <w:vertAlign w:val="baseline"/>
                <w:lang w:val="en-US" w:eastAsia="zh-CN"/>
              </w:rPr>
              <w:t>宜</w:t>
            </w:r>
            <w:r>
              <w:rPr>
                <w:rFonts w:hint="default" w:ascii="Times New Roman" w:hAnsi="Times New Roman" w:cs="Times New Roman"/>
                <w:highlight w:val="none"/>
                <w:vertAlign w:val="baseline"/>
                <w:lang w:val="en-US" w:eastAsia="zh-CN"/>
              </w:rPr>
              <w:t>度评价标准 苹果》</w:t>
            </w:r>
          </w:p>
        </w:tc>
        <w:tc>
          <w:tcPr>
            <w:tcW w:w="3572" w:type="dxa"/>
            <w:vAlign w:val="center"/>
          </w:tcPr>
          <w:p w14:paraId="5FC6996F">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本标准规定了苹果物联网环境参数适宜度的评价原则、评价目标和评价方法。</w:t>
            </w:r>
          </w:p>
          <w:p w14:paraId="1B91E312">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本标准适用于苹果物联网环境参数适宜度评价。</w:t>
            </w:r>
          </w:p>
        </w:tc>
        <w:tc>
          <w:tcPr>
            <w:tcW w:w="2381" w:type="dxa"/>
            <w:vAlign w:val="center"/>
          </w:tcPr>
          <w:p w14:paraId="3D9C9733">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山东省农业科学院科技信息研究所</w:t>
            </w:r>
          </w:p>
        </w:tc>
        <w:tc>
          <w:tcPr>
            <w:tcW w:w="680" w:type="dxa"/>
            <w:vAlign w:val="center"/>
          </w:tcPr>
          <w:p w14:paraId="30EEF64C">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Merge w:val="restart"/>
            <w:vAlign w:val="center"/>
          </w:tcPr>
          <w:p w14:paraId="670BEEFC">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eastAsia" w:ascii="Times New Roman" w:hAnsi="Times New Roman" w:eastAsia="仿宋" w:cs="Times New Roman"/>
                <w:color w:val="000000" w:themeColor="text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废止原因：</w:t>
            </w:r>
            <w:r>
              <w:rPr>
                <w:rFonts w:hint="eastAsia" w:ascii="Times New Roman" w:hAnsi="Times New Roman" w:cs="Times New Roman"/>
                <w:color w:val="000000" w:themeColor="text1"/>
                <w:highlight w:val="none"/>
                <w:lang w:val="en-US" w:eastAsia="zh-CN"/>
                <w14:textFill>
                  <w14:solidFill>
                    <w14:schemeClr w14:val="tx1"/>
                  </w14:solidFill>
                </w14:textFill>
              </w:rPr>
              <w:t>标准起草单位已撤销，相关起草人员已不在原岗位，无法支持标准后续修订及维护工作。</w:t>
            </w:r>
          </w:p>
        </w:tc>
      </w:tr>
      <w:tr w14:paraId="7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68" w:type="dxa"/>
            <w:vAlign w:val="center"/>
          </w:tcPr>
          <w:p w14:paraId="5EB90050">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562671F2">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T/SDIE 6-2019</w:t>
            </w:r>
          </w:p>
        </w:tc>
        <w:tc>
          <w:tcPr>
            <w:tcW w:w="2948" w:type="dxa"/>
            <w:vAlign w:val="center"/>
          </w:tcPr>
          <w:p w14:paraId="2C3001A2">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《设施蔬菜物联网环境参数适宜度评价标准 番茄》</w:t>
            </w:r>
          </w:p>
        </w:tc>
        <w:tc>
          <w:tcPr>
            <w:tcW w:w="3572" w:type="dxa"/>
            <w:vAlign w:val="center"/>
          </w:tcPr>
          <w:p w14:paraId="40F5288F">
            <w:pPr>
              <w:jc w:val="left"/>
              <w:rPr>
                <w:rFonts w:hint="default" w:ascii="Times New Roman" w:hAnsi="Times New Roman" w:cs="Times New Roman"/>
                <w:highlight w:val="none"/>
                <w:vertAlign w:val="baseline"/>
                <w:lang w:val="en-US" w:eastAsia="zh-CN"/>
              </w:rPr>
            </w:pPr>
            <w:r>
              <w:rPr>
                <w:rFonts w:hint="eastAsia" w:ascii="Times New Roman" w:hAnsi="Times New Roman" w:cs="Times New Roman"/>
                <w:highlight w:val="none"/>
                <w:vertAlign w:val="baseline"/>
                <w:lang w:val="en-US" w:eastAsia="zh-CN"/>
              </w:rPr>
              <w:t>本标准规定了设施番茄物联网环境参数适宜度评价原则、评价目标和评价方法。</w:t>
            </w:r>
          </w:p>
          <w:p w14:paraId="4C4F6243">
            <w:pPr>
              <w:jc w:val="left"/>
              <w:rPr>
                <w:rFonts w:hint="default" w:ascii="Times New Roman" w:hAnsi="Times New Roman" w:cs="Times New Roman"/>
                <w:highlight w:val="none"/>
                <w:vertAlign w:val="baseline"/>
                <w:lang w:val="en-US" w:eastAsia="zh-CN"/>
              </w:rPr>
            </w:pPr>
            <w:r>
              <w:rPr>
                <w:rFonts w:hint="eastAsia" w:ascii="Times New Roman" w:hAnsi="Times New Roman" w:cs="Times New Roman"/>
                <w:highlight w:val="none"/>
                <w:vertAlign w:val="baseline"/>
                <w:lang w:val="en-US" w:eastAsia="zh-CN"/>
              </w:rPr>
              <w:t>本标准适用于设施番茄物联网环境参数适宜度评价。</w:t>
            </w:r>
          </w:p>
        </w:tc>
        <w:tc>
          <w:tcPr>
            <w:tcW w:w="2381" w:type="dxa"/>
            <w:vAlign w:val="center"/>
          </w:tcPr>
          <w:p w14:paraId="559005F6">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山东省农业科学院科技信息研究所</w:t>
            </w:r>
          </w:p>
        </w:tc>
        <w:tc>
          <w:tcPr>
            <w:tcW w:w="680" w:type="dxa"/>
            <w:vAlign w:val="center"/>
          </w:tcPr>
          <w:p w14:paraId="508230FE">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Merge w:val="continue"/>
            <w:vAlign w:val="center"/>
          </w:tcPr>
          <w:p w14:paraId="2556F59D">
            <w:pPr>
              <w:numPr>
                <w:ilvl w:val="0"/>
                <w:numId w:val="0"/>
              </w:numPr>
              <w:rPr>
                <w:rFonts w:hint="default" w:ascii="Times New Roman" w:hAnsi="Times New Roman" w:cs="Times New Roman"/>
                <w:color w:val="000000" w:themeColor="text1"/>
                <w:sz w:val="18"/>
                <w:szCs w:val="21"/>
                <w:highlight w:val="none"/>
                <w:vertAlign w:val="baseline"/>
                <w:lang w:val="en-US" w:eastAsia="zh-CN"/>
                <w14:textFill>
                  <w14:solidFill>
                    <w14:schemeClr w14:val="tx1"/>
                  </w14:solidFill>
                </w14:textFill>
              </w:rPr>
            </w:pPr>
          </w:p>
        </w:tc>
      </w:tr>
      <w:tr w14:paraId="33ED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68" w:type="dxa"/>
            <w:vAlign w:val="center"/>
          </w:tcPr>
          <w:p w14:paraId="7A02F829">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7ED16FB7">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T/SDIE 7-2019</w:t>
            </w:r>
          </w:p>
        </w:tc>
        <w:tc>
          <w:tcPr>
            <w:tcW w:w="2948" w:type="dxa"/>
            <w:vAlign w:val="center"/>
          </w:tcPr>
          <w:p w14:paraId="63FE988D">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《农村农业信息资源建设规范 信息采集》</w:t>
            </w:r>
          </w:p>
        </w:tc>
        <w:tc>
          <w:tcPr>
            <w:tcW w:w="3572" w:type="dxa"/>
            <w:vAlign w:val="center"/>
          </w:tcPr>
          <w:p w14:paraId="154FCC98">
            <w:pPr>
              <w:jc w:val="left"/>
              <w:rPr>
                <w:rFonts w:hint="eastAsia" w:ascii="Times New Roman" w:hAnsi="Times New Roman" w:cs="Times New Roman"/>
                <w:highlight w:val="none"/>
                <w:vertAlign w:val="baseline"/>
                <w:lang w:val="en-US" w:eastAsia="zh-CN"/>
              </w:rPr>
            </w:pPr>
            <w:r>
              <w:rPr>
                <w:rFonts w:hint="eastAsia" w:ascii="Times New Roman" w:hAnsi="Times New Roman" w:cs="Times New Roman"/>
                <w:highlight w:val="none"/>
                <w:vertAlign w:val="baseline"/>
                <w:lang w:val="en-US" w:eastAsia="zh-CN"/>
              </w:rPr>
              <w:t>本标准规定了农村农业信息的采集原则、信息种类、信息来源、采集流程、采集单设计和审核要求。</w:t>
            </w:r>
          </w:p>
          <w:p w14:paraId="6BC9248F">
            <w:pPr>
              <w:jc w:val="left"/>
              <w:rPr>
                <w:rFonts w:hint="default" w:ascii="Times New Roman" w:hAnsi="Times New Roman" w:cs="Times New Roman"/>
                <w:highlight w:val="none"/>
                <w:vertAlign w:val="baseline"/>
                <w:lang w:val="en-US" w:eastAsia="zh-CN"/>
              </w:rPr>
            </w:pPr>
            <w:r>
              <w:rPr>
                <w:rFonts w:hint="eastAsia" w:ascii="Times New Roman" w:hAnsi="Times New Roman" w:cs="Times New Roman"/>
                <w:highlight w:val="none"/>
                <w:vertAlign w:val="baseline"/>
                <w:lang w:val="en-US" w:eastAsia="zh-CN"/>
              </w:rPr>
              <w:t>本标准适用于农村农业信息采集。</w:t>
            </w:r>
          </w:p>
        </w:tc>
        <w:tc>
          <w:tcPr>
            <w:tcW w:w="2381" w:type="dxa"/>
            <w:vAlign w:val="center"/>
          </w:tcPr>
          <w:p w14:paraId="1D4CF047">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山东省农业科学院科技信息研究所</w:t>
            </w:r>
          </w:p>
        </w:tc>
        <w:tc>
          <w:tcPr>
            <w:tcW w:w="680" w:type="dxa"/>
            <w:vAlign w:val="center"/>
          </w:tcPr>
          <w:p w14:paraId="4CE13792">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Merge w:val="continue"/>
            <w:vAlign w:val="center"/>
          </w:tcPr>
          <w:p w14:paraId="68CB91D4">
            <w:pPr>
              <w:numPr>
                <w:ilvl w:val="0"/>
                <w:numId w:val="0"/>
              </w:numPr>
              <w:rPr>
                <w:rFonts w:hint="default" w:ascii="Times New Roman" w:hAnsi="Times New Roman" w:cs="Times New Roman"/>
                <w:color w:val="000000" w:themeColor="text1"/>
                <w:sz w:val="18"/>
                <w:szCs w:val="21"/>
                <w:highlight w:val="none"/>
                <w:vertAlign w:val="baseline"/>
                <w:lang w:val="en-US" w:eastAsia="zh-CN"/>
                <w14:textFill>
                  <w14:solidFill>
                    <w14:schemeClr w14:val="tx1"/>
                  </w14:solidFill>
                </w14:textFill>
              </w:rPr>
            </w:pPr>
          </w:p>
        </w:tc>
      </w:tr>
      <w:tr w14:paraId="05A9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568" w:type="dxa"/>
            <w:vAlign w:val="center"/>
          </w:tcPr>
          <w:p w14:paraId="662BD4AB">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highlight w:val="none"/>
                <w:vertAlign w:val="baseline"/>
                <w:lang w:val="en-US" w:eastAsia="zh-CN"/>
              </w:rPr>
            </w:pPr>
          </w:p>
        </w:tc>
        <w:tc>
          <w:tcPr>
            <w:tcW w:w="1531" w:type="dxa"/>
            <w:vAlign w:val="center"/>
          </w:tcPr>
          <w:p w14:paraId="4D6E0F79">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T/SDIE 8-2019</w:t>
            </w:r>
          </w:p>
        </w:tc>
        <w:tc>
          <w:tcPr>
            <w:tcW w:w="2948" w:type="dxa"/>
            <w:vAlign w:val="center"/>
          </w:tcPr>
          <w:p w14:paraId="1B9553E5">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《农村农业信息资源建设规范 信息资源分类》</w:t>
            </w:r>
          </w:p>
        </w:tc>
        <w:tc>
          <w:tcPr>
            <w:tcW w:w="3572" w:type="dxa"/>
            <w:vAlign w:val="center"/>
          </w:tcPr>
          <w:p w14:paraId="4C201508">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本标准规定了农村农业信息资源的分类原则、分类方法、分类步骤、类目的结构体系和分类编码体系。</w:t>
            </w:r>
          </w:p>
          <w:p w14:paraId="64DFD684">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本标准适用于农村农业信息资源分类。</w:t>
            </w:r>
          </w:p>
        </w:tc>
        <w:tc>
          <w:tcPr>
            <w:tcW w:w="2381" w:type="dxa"/>
            <w:vAlign w:val="center"/>
          </w:tcPr>
          <w:p w14:paraId="1BBA5733">
            <w:pPr>
              <w:jc w:val="center"/>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山东省农业科学院科技信息研究所</w:t>
            </w:r>
          </w:p>
        </w:tc>
        <w:tc>
          <w:tcPr>
            <w:tcW w:w="680" w:type="dxa"/>
            <w:vAlign w:val="center"/>
          </w:tcPr>
          <w:p w14:paraId="3A0656E1">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Merge w:val="continue"/>
            <w:vAlign w:val="center"/>
          </w:tcPr>
          <w:p w14:paraId="0ED81BFD">
            <w:pPr>
              <w:jc w:val="both"/>
              <w:rPr>
                <w:rFonts w:hint="default" w:ascii="Times New Roman" w:hAnsi="Times New Roman" w:cs="Times New Roman"/>
                <w:color w:val="000000" w:themeColor="text1"/>
                <w:highlight w:val="none"/>
                <w:vertAlign w:val="baseline"/>
                <w:lang w:val="en-US" w:eastAsia="zh-CN"/>
                <w14:textFill>
                  <w14:solidFill>
                    <w14:schemeClr w14:val="tx1"/>
                  </w14:solidFill>
                </w14:textFill>
              </w:rPr>
            </w:pPr>
          </w:p>
        </w:tc>
      </w:tr>
      <w:tr w14:paraId="08D6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568" w:type="dxa"/>
            <w:vAlign w:val="center"/>
          </w:tcPr>
          <w:p w14:paraId="68E18E20">
            <w:pPr>
              <w:keepNext w:val="0"/>
              <w:keepLines w:val="0"/>
              <w:pageBreakBefore w:val="0"/>
              <w:widowControl w:val="0"/>
              <w:numPr>
                <w:ilvl w:val="0"/>
                <w:numId w:val="1"/>
              </w:numPr>
              <w:kinsoku/>
              <w:wordWrap/>
              <w:overflowPunct/>
              <w:topLinePunct w:val="0"/>
              <w:autoSpaceDE/>
              <w:autoSpaceDN/>
              <w:bidi w:val="0"/>
              <w:adjustRightInd/>
              <w:snapToGrid w:val="0"/>
              <w:ind w:left="0" w:leftChars="0" w:firstLine="0" w:firstLineChars="0"/>
              <w:jc w:val="center"/>
              <w:textAlignment w:val="auto"/>
              <w:rPr>
                <w:rFonts w:hint="default" w:ascii="Times New Roman" w:hAnsi="Times New Roman" w:cs="Times New Roman"/>
                <w:vertAlign w:val="baseline"/>
                <w:lang w:val="en-US" w:eastAsia="zh-CN"/>
              </w:rPr>
            </w:pPr>
          </w:p>
        </w:tc>
        <w:tc>
          <w:tcPr>
            <w:tcW w:w="1531" w:type="dxa"/>
            <w:shd w:val="clear" w:color="auto" w:fill="auto"/>
            <w:vAlign w:val="center"/>
          </w:tcPr>
          <w:p w14:paraId="4A6D6922">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color w:val="000000"/>
                <w:kern w:val="0"/>
                <w:sz w:val="21"/>
                <w:szCs w:val="21"/>
                <w:lang w:val="en-US" w:eastAsia="zh-CN" w:bidi="ar"/>
              </w:rPr>
            </w:pPr>
            <w:r>
              <w:rPr>
                <w:rFonts w:hint="default" w:ascii="Times New Roman" w:hAnsi="Times New Roman" w:cs="Times New Roman"/>
                <w:color w:val="000000"/>
                <w:kern w:val="0"/>
                <w:sz w:val="21"/>
                <w:szCs w:val="21"/>
                <w:lang w:val="en-US" w:eastAsia="zh-CN" w:bidi="ar"/>
              </w:rPr>
              <w:t>T/SDIE</w:t>
            </w:r>
            <w:r>
              <w:rPr>
                <w:rFonts w:hint="default" w:ascii="Times New Roman" w:hAnsi="Times New Roman" w:cs="Times New Roman" w:eastAsiaTheme="minorEastAsia"/>
                <w:color w:val="000000"/>
                <w:kern w:val="0"/>
                <w:sz w:val="21"/>
                <w:szCs w:val="21"/>
                <w:lang w:val="en-US" w:eastAsia="zh-CN" w:bidi="ar"/>
              </w:rPr>
              <w:t xml:space="preserve"> 15-2021</w:t>
            </w:r>
          </w:p>
        </w:tc>
        <w:tc>
          <w:tcPr>
            <w:tcW w:w="2948" w:type="dxa"/>
            <w:shd w:val="clear" w:color="auto" w:fill="auto"/>
            <w:vAlign w:val="center"/>
          </w:tcPr>
          <w:p w14:paraId="2D03FFD5">
            <w:pPr>
              <w:keepNext w:val="0"/>
              <w:keepLines w:val="0"/>
              <w:pageBreakBefore w:val="0"/>
              <w:widowControl/>
              <w:numPr>
                <w:ilvl w:val="1"/>
                <w:numId w:val="0"/>
              </w:numPr>
              <w:suppressLineNumbers w:val="0"/>
              <w:tabs>
                <w:tab w:val="left" w:pos="0"/>
              </w:tabs>
              <w:kinsoku/>
              <w:wordWrap/>
              <w:overflowPunct/>
              <w:topLinePunct w:val="0"/>
              <w:autoSpaceDE/>
              <w:autoSpaceDN/>
              <w:bidi w:val="0"/>
              <w:adjustRightInd/>
              <w:snapToGrid/>
              <w:spacing w:line="400" w:lineRule="exact"/>
              <w:ind w:left="0" w:leftChars="0" w:firstLine="0" w:firstLineChars="0"/>
              <w:jc w:val="left"/>
              <w:textAlignment w:val="auto"/>
              <w:rPr>
                <w:rFonts w:hint="default" w:ascii="Times New Roman" w:hAnsi="Times New Roman" w:cs="Times New Roman" w:eastAsiaTheme="minorEastAsia"/>
                <w:color w:val="000000"/>
                <w:kern w:val="0"/>
                <w:sz w:val="21"/>
                <w:szCs w:val="21"/>
                <w:lang w:val="en-US" w:eastAsia="zh-CN" w:bidi="ar"/>
              </w:rPr>
            </w:pPr>
            <w:r>
              <w:rPr>
                <w:rFonts w:hint="default" w:ascii="Times New Roman" w:hAnsi="Times New Roman" w:cs="Times New Roman" w:eastAsiaTheme="minorEastAsia"/>
                <w:color w:val="000000"/>
                <w:kern w:val="0"/>
                <w:sz w:val="21"/>
                <w:szCs w:val="21"/>
                <w:lang w:val="en-US" w:eastAsia="zh-CN" w:bidi="ar"/>
              </w:rPr>
              <w:t>《电磁信号在线检测与自动识别软件测试规范》</w:t>
            </w:r>
          </w:p>
        </w:tc>
        <w:tc>
          <w:tcPr>
            <w:tcW w:w="3572" w:type="dxa"/>
            <w:vAlign w:val="center"/>
          </w:tcPr>
          <w:p w14:paraId="65663AAB">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本文件给出了电磁信号在线检测与自动识别软件测试的条件、范围、内容、方法等要求。</w:t>
            </w:r>
          </w:p>
          <w:p w14:paraId="15891ACA">
            <w:pPr>
              <w:jc w:val="left"/>
              <w:rPr>
                <w:rFonts w:hint="default" w:ascii="Times New Roman" w:hAnsi="Times New Roman" w:cs="Times New Roman"/>
                <w:highlight w:val="none"/>
                <w:vertAlign w:val="baseline"/>
                <w:lang w:val="en-US" w:eastAsia="zh-CN"/>
              </w:rPr>
            </w:pPr>
            <w:r>
              <w:rPr>
                <w:rFonts w:hint="default" w:ascii="Times New Roman" w:hAnsi="Times New Roman" w:cs="Times New Roman"/>
                <w:highlight w:val="none"/>
                <w:vertAlign w:val="baseline"/>
                <w:lang w:val="en-US" w:eastAsia="zh-CN"/>
              </w:rPr>
              <w:t>本文件适用于电磁信号在线检测与自动识别软件测试。</w:t>
            </w:r>
          </w:p>
        </w:tc>
        <w:tc>
          <w:tcPr>
            <w:tcW w:w="2381" w:type="dxa"/>
            <w:vAlign w:val="center"/>
          </w:tcPr>
          <w:p w14:paraId="7E74CF1D">
            <w:p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山东大学</w:t>
            </w:r>
          </w:p>
        </w:tc>
        <w:tc>
          <w:tcPr>
            <w:tcW w:w="680" w:type="dxa"/>
            <w:vAlign w:val="center"/>
          </w:tcPr>
          <w:p w14:paraId="56BB894A">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000000" w:themeColor="text1"/>
                <w:sz w:val="21"/>
                <w:szCs w:val="20"/>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0"/>
                <w:vertAlign w:val="baseline"/>
                <w:lang w:val="en-US" w:eastAsia="zh-CN"/>
                <w14:textFill>
                  <w14:solidFill>
                    <w14:schemeClr w14:val="tx1"/>
                  </w14:solidFill>
                </w14:textFill>
              </w:rPr>
              <w:t>废止</w:t>
            </w:r>
          </w:p>
        </w:tc>
        <w:tc>
          <w:tcPr>
            <w:tcW w:w="2891" w:type="dxa"/>
            <w:vAlign w:val="center"/>
          </w:tcPr>
          <w:p w14:paraId="15EC87DA">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eastAsia="宋体" w:cs="Times New Roman"/>
                <w:b/>
                <w:bCs/>
                <w:color w:val="000000" w:themeColor="text1"/>
                <w:kern w:val="2"/>
                <w:sz w:val="24"/>
                <w:szCs w:val="24"/>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废止原因：</w:t>
            </w:r>
            <w:r>
              <w:rPr>
                <w:rFonts w:hint="default" w:ascii="Times New Roman" w:hAnsi="Times New Roman" w:cs="Times New Roman"/>
                <w:color w:val="000000" w:themeColor="text1"/>
                <w:highlight w:val="none"/>
                <w:lang w:val="en-US" w:eastAsia="zh-CN"/>
                <w14:textFill>
                  <w14:solidFill>
                    <w14:schemeClr w14:val="tx1"/>
                  </w14:solidFill>
                </w14:textFill>
              </w:rPr>
              <w:t>本标准已不适应新产品、新技术发展需要，标准技术要求低于当前技术发展平均水平</w:t>
            </w:r>
            <w:r>
              <w:rPr>
                <w:rFonts w:hint="eastAsia" w:ascii="Times New Roman" w:hAnsi="Times New Roman" w:cs="Times New Roman"/>
                <w:color w:val="000000" w:themeColor="text1"/>
                <w:highlight w:val="none"/>
                <w:lang w:val="en-US" w:eastAsia="zh-CN"/>
                <w14:textFill>
                  <w14:solidFill>
                    <w14:schemeClr w14:val="tx1"/>
                  </w14:solidFill>
                </w14:textFill>
              </w:rPr>
              <w:t>。</w:t>
            </w:r>
          </w:p>
        </w:tc>
      </w:tr>
    </w:tbl>
    <w:p w14:paraId="3EE25F13">
      <w:pPr>
        <w:numPr>
          <w:ilvl w:val="0"/>
          <w:numId w:val="0"/>
        </w:numPr>
        <w:rPr>
          <w:rFonts w:hint="default"/>
          <w:lang w:val="en-US" w:eastAsia="zh-CN"/>
        </w:rPr>
      </w:pPr>
    </w:p>
    <w:sectPr>
      <w:pgSz w:w="16838" w:h="11906" w:orient="landscape"/>
      <w:pgMar w:top="1644" w:right="1043" w:bottom="1644" w:left="11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9AD5A7-A98B-4C7D-BCA4-47B2CBC244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7ABEF7B3-E3F8-432F-8F74-CAF7BBD449FD}"/>
  </w:font>
  <w:font w:name="方正小标宋简体">
    <w:panose1 w:val="02000000000000000000"/>
    <w:charset w:val="86"/>
    <w:family w:val="auto"/>
    <w:pitch w:val="default"/>
    <w:sig w:usb0="00000001" w:usb1="08000000" w:usb2="00000000" w:usb3="00000000" w:csb0="00040000" w:csb1="00000000"/>
    <w:embedRegular r:id="rId3" w:fontKey="{35D0F070-24D3-474C-9D2D-B7F1AA1DF607}"/>
  </w:font>
  <w:font w:name="仿宋">
    <w:panose1 w:val="02010609060101010101"/>
    <w:charset w:val="86"/>
    <w:family w:val="modern"/>
    <w:pitch w:val="default"/>
    <w:sig w:usb0="800002BF" w:usb1="38CF7CFA" w:usb2="00000016" w:usb3="00000000" w:csb0="00040001" w:csb1="00000000"/>
    <w:embedRegular r:id="rId4" w:fontKey="{55384A9B-0CB1-4346-9F0F-F011C7FD3DC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F60DD5"/>
    <w:multiLevelType w:val="singleLevel"/>
    <w:tmpl w:val="71F60DD5"/>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F5E74"/>
    <w:rsid w:val="039D50BA"/>
    <w:rsid w:val="04183664"/>
    <w:rsid w:val="052E0CB9"/>
    <w:rsid w:val="05C771DE"/>
    <w:rsid w:val="064F63BF"/>
    <w:rsid w:val="095C5ACD"/>
    <w:rsid w:val="0A1823EF"/>
    <w:rsid w:val="0B621C85"/>
    <w:rsid w:val="0CC76511"/>
    <w:rsid w:val="1138005E"/>
    <w:rsid w:val="11D72A72"/>
    <w:rsid w:val="13B93579"/>
    <w:rsid w:val="1985549C"/>
    <w:rsid w:val="1ABD5466"/>
    <w:rsid w:val="1EDE1A0E"/>
    <w:rsid w:val="232B2D57"/>
    <w:rsid w:val="25BE679B"/>
    <w:rsid w:val="2677380B"/>
    <w:rsid w:val="2AF85E3C"/>
    <w:rsid w:val="2BC4694B"/>
    <w:rsid w:val="2F3C3717"/>
    <w:rsid w:val="31540F86"/>
    <w:rsid w:val="3AB53C1C"/>
    <w:rsid w:val="41B70B47"/>
    <w:rsid w:val="4546390A"/>
    <w:rsid w:val="47EE216E"/>
    <w:rsid w:val="48D43677"/>
    <w:rsid w:val="49BC19D3"/>
    <w:rsid w:val="4A372126"/>
    <w:rsid w:val="5B4C7C32"/>
    <w:rsid w:val="5BF474F8"/>
    <w:rsid w:val="5E464C64"/>
    <w:rsid w:val="5EE11E7D"/>
    <w:rsid w:val="603B2211"/>
    <w:rsid w:val="610B05F4"/>
    <w:rsid w:val="63E32A2B"/>
    <w:rsid w:val="674947DA"/>
    <w:rsid w:val="67627252"/>
    <w:rsid w:val="6A7264BF"/>
    <w:rsid w:val="6B3A17DE"/>
    <w:rsid w:val="6C1C31F8"/>
    <w:rsid w:val="6C526595"/>
    <w:rsid w:val="6E064F1B"/>
    <w:rsid w:val="70D74150"/>
    <w:rsid w:val="74163919"/>
    <w:rsid w:val="76D47947"/>
    <w:rsid w:val="7A1927A9"/>
    <w:rsid w:val="7A88631B"/>
    <w:rsid w:val="7CF50EC3"/>
    <w:rsid w:val="7EFC5D86"/>
    <w:rsid w:val="7F635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70" w:lineRule="exact"/>
      <w:ind w:firstLine="562"/>
      <w:outlineLvl w:val="1"/>
    </w:pPr>
    <w:rPr>
      <w:rFonts w:ascii="楷体_GB2312" w:hAnsi="楷体_GB2312" w:eastAsia="楷体_GB2312" w:cs="Times New Roman"/>
      <w:sz w:val="32"/>
      <w:szCs w:val="28"/>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541</Words>
  <Characters>587</Characters>
  <Lines>1</Lines>
  <Paragraphs>1</Paragraphs>
  <TotalTime>10</TotalTime>
  <ScaleCrop>false</ScaleCrop>
  <LinksUpToDate>false</LinksUpToDate>
  <CharactersWithSpaces>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2026-07-20T07:49:00Z</dcterms:created>
  <dc:creator>han</dc:creator>
  <cp:lastModifiedBy>刘乐</cp:lastModifiedBy>
  <dcterms:modified xsi:type="dcterms:W3CDTF">2026-10-08T06:15:05Z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eyJoZGlkIjoiMGE4MzY0YmMxMzRhMzY1OTAwMDllZjE0ZDUyNTRhZmYiLCJ1c2VySWQiOiIxMTc3NTUwMTM5In0=</vt:lpwstr>
  </property>
  <property fmtid="{D5CDD505-2E9C-101B-9397-08002B2CF9AE}" pid="4" name="ICV">
    <vt:lpwstr>CE83F61E3F8547809083943AE8B8F852_12</vt:lpwstr>
  </property>
</Properties>
</file>