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7CA3AFD">
      <w:pPr>
        <w:jc w:val="center"/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262626"/>
          <w:spacing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贸易预警丨商务部回应《</w:t>
      </w: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262626"/>
          <w:spacing w:val="0"/>
          <w:sz w:val="44"/>
          <w:szCs w:val="44"/>
        </w:rPr>
        <w:t>CEPA服务贸易协议》的修订为澳门带</w:t>
      </w: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262626"/>
          <w:spacing w:val="0"/>
          <w:sz w:val="44"/>
          <w:szCs w:val="44"/>
          <w:lang w:eastAsia="zh-CN"/>
        </w:rPr>
        <w:t>新</w:t>
      </w: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262626"/>
          <w:spacing w:val="0"/>
          <w:sz w:val="44"/>
          <w:szCs w:val="44"/>
        </w:rPr>
        <w:t>政策红利</w:t>
      </w:r>
    </w:p>
    <w:p w14:paraId="75DEFF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近日，在商务部例行记者会上，有记者提问</w:t>
      </w:r>
      <w:r>
        <w:rPr>
          <w:rFonts w:hint="eastAsia" w:ascii="仿宋_GB2312" w:hAnsi="仿宋_GB2312" w:eastAsia="仿宋_GB2312" w:cs="仿宋_GB2312"/>
          <w:sz w:val="32"/>
          <w:szCs w:val="32"/>
        </w:rPr>
        <w:t>澳门回归祖国25周年，请问《CEPA服务贸易协议》的修订为澳门带来了哪些政策红利？下一步商务部将有哪些进一步的务实举措？</w:t>
      </w:r>
    </w:p>
    <w:p w14:paraId="447D70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对此，商务部新闻发言人何亚东回应：“</w:t>
      </w:r>
      <w:r>
        <w:rPr>
          <w:rFonts w:hint="eastAsia" w:ascii="仿宋_GB2312" w:hAnsi="仿宋_GB2312" w:eastAsia="仿宋_GB2312" w:cs="仿宋_GB2312"/>
          <w:sz w:val="32"/>
          <w:szCs w:val="32"/>
        </w:rPr>
        <w:t>澳门回归祖国25年来，内地与澳门经贸交流合作不断深化，水平不断提高，领域不断拓展。</w:t>
      </w:r>
    </w:p>
    <w:p w14:paraId="29C4E2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我们与澳门特别行政区政府在经贸领域建立并完善合作机制，通过签署《关于建立更紧密经贸关系的安排》（CEPA）及其系列协议，内地对澳门已全面实现货物贸易自由化，基本实现服务贸易自由化。据统计，2023年，内地与澳门贸易额38.4亿美元，较回归前增长了4.3倍。截至2024年10月，内地累计吸收澳门直接投资239.3亿美元，内地对澳门直接投资141.9亿美元。</w:t>
      </w:r>
    </w:p>
    <w:p w14:paraId="266E4F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10月10日，内地与澳门共同签署了《关于修订＜CEPA服务贸易协议＞的协议二》。此次修订在医疗、金融、科创、旅游等澳门重点发展的领域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，将</w:t>
      </w:r>
      <w:r>
        <w:rPr>
          <w:rFonts w:hint="eastAsia" w:ascii="仿宋_GB2312" w:hAnsi="仿宋_GB2312" w:eastAsia="仿宋_GB2312" w:cs="仿宋_GB2312"/>
          <w:sz w:val="32"/>
          <w:szCs w:val="32"/>
        </w:rPr>
        <w:t>进一步降低或取消对澳门服务提供者的准入门槛；部分开放措施将在大湾区率先实施，进一步推进粤港澳大湾区机制对接、规则衔接。</w:t>
      </w:r>
    </w:p>
    <w:p w14:paraId="303919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澳门回归祖国25年来，“一国两制”实践取得举世瞩目成就。商务部将积极发挥内地与澳门经贸合作委员会作用，支持澳门发展经济、改善民生，更好融入国家发展大局。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”</w:t>
      </w:r>
    </w:p>
    <w:p w14:paraId="3A31A5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2024年12月下半月简讯</w:t>
      </w:r>
    </w:p>
    <w:p w14:paraId="53A3CF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山东省应对国际贸易摩擦工作站（电子信息）</w:t>
      </w:r>
    </w:p>
    <w:p w14:paraId="6F2427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为有效应对国际贸易摩擦，健全预警体系，山东省商务厅分行业设立多个应对国际贸易摩擦工作站，充分利用国内外业务网络，搜集本行业（领域）国内外产品价格变化、市场结构变化、境外行业动态、境外对我发起“两反一保”案件、技术性贸易措施、贸易壁垒等信息，帮助会员企业及有关单位做好国际贸易风险预警，规避贸易风险，并及时向上级综合性工作站上报。</w:t>
      </w:r>
    </w:p>
    <w:p w14:paraId="3608B7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在山东省商务厅发布的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</w:rPr>
        <w:t>2月份下半月《山东省应对国际贸易摩擦半月通讯》中，由山东电子学会工作站上报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33</w:t>
      </w:r>
      <w:r>
        <w:rPr>
          <w:rFonts w:hint="eastAsia" w:ascii="仿宋_GB2312" w:hAnsi="仿宋_GB2312" w:eastAsia="仿宋_GB2312" w:cs="仿宋_GB2312"/>
          <w:sz w:val="32"/>
          <w:szCs w:val="32"/>
        </w:rPr>
        <w:t>条预警信息被采纳。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其中</w:t>
      </w:r>
      <w:r>
        <w:rPr>
          <w:rFonts w:hint="eastAsia" w:ascii="仿宋_GB2312" w:hAnsi="仿宋_GB2312" w:eastAsia="仿宋_GB2312" w:cs="仿宋_GB2312"/>
          <w:sz w:val="32"/>
          <w:szCs w:val="32"/>
        </w:rPr>
        <w:t>电子信息行业采纳预警信息详情如下：</w:t>
      </w:r>
    </w:p>
    <w:p w14:paraId="7AA23C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398780</wp:posOffset>
            </wp:positionV>
            <wp:extent cx="5272405" cy="3987800"/>
            <wp:effectExtent l="0" t="0" r="4445" b="1270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8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5271135" cy="2451100"/>
            <wp:effectExtent l="0" t="0" r="5715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4212590"/>
            <wp:effectExtent l="0" t="0" r="6350" b="165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21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A20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drawing>
          <wp:inline distT="0" distB="0" distL="114300" distR="114300">
            <wp:extent cx="5273675" cy="6804660"/>
            <wp:effectExtent l="0" t="0" r="3175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80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6240780"/>
            <wp:effectExtent l="0" t="0" r="317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24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754755"/>
            <wp:effectExtent l="0" t="0" r="4445" b="171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5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4199255"/>
            <wp:effectExtent l="0" t="0" r="7620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19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6511925"/>
            <wp:effectExtent l="0" t="0" r="4445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51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4517390"/>
            <wp:effectExtent l="0" t="0" r="6350" b="165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51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29B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2405" cy="3970020"/>
            <wp:effectExtent l="0" t="0" r="4445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ED1E2A"/>
    <w:rsid w:val="055C757F"/>
    <w:rsid w:val="0D3A63F7"/>
    <w:rsid w:val="1AC6751C"/>
    <w:rsid w:val="246B0E6F"/>
    <w:rsid w:val="404146A8"/>
    <w:rsid w:val="467A1037"/>
    <w:rsid w:val="47F60415"/>
    <w:rsid w:val="5A313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788</Words>
  <Characters>831</Characters>
  <Lines>0</Lines>
  <Paragraphs>0</Paragraphs>
  <TotalTime>2</TotalTime>
  <ScaleCrop>false</ScaleCrop>
  <LinksUpToDate>false</LinksUpToDate>
  <CharactersWithSpaces>831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2025-01-06T07:49:00Z</dcterms:created>
  <dc:creator>Administrator</dc:creator>
  <cp:lastModifiedBy>眯眯眼℡、</cp:lastModifiedBy>
  <dcterms:modified xsi:type="dcterms:W3CDTF">2025-01-06T09:34:10Z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eyJoZGlkIjoiZjNmZjFhM2IwMGQ0OWUyNDU3N2Q0OTRiNjQ1MjIxOGIiLCJ1c2VySWQiOiIyMDE4MTY1MDIifQ==</vt:lpwstr>
  </property>
  <property fmtid="{D5CDD505-2E9C-101B-9397-08002B2CF9AE}" pid="4" name="ICV">
    <vt:lpwstr>B4201076A0DE444D970D64266EBBBD9E_12</vt:lpwstr>
  </property>
</Properties>
</file>