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D65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1553D037">
      <w:pPr>
        <w:rPr>
          <w:rFonts w:hint="default"/>
          <w:lang w:val="en-US" w:eastAsia="zh-CN"/>
        </w:rPr>
      </w:pPr>
    </w:p>
    <w:p w14:paraId="4C8E2E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年世界智能产业博览会“百场万企”</w:t>
      </w:r>
    </w:p>
    <w:p w14:paraId="7FA519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highlight w:val="none"/>
          <w:lang w:val="en-US" w:eastAsia="zh-CN" w:bidi="ar-SA"/>
        </w:rPr>
        <w:t>大中小企业融通对接活动</w:t>
      </w:r>
    </w:p>
    <w:p w14:paraId="50B1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世界智能产业博览会前身为中国国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际智能产业博览会和世界智能大会，由重庆市人民政府、天津市人民政府共同主办、轮流举办。2025年世界智能产业博览会将于9月5日至8日在重庆国际博览中心、重庆悦来国际会议中心举办。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以人工智能为主线，聚焦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人工智能+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智能网联新能源汽车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年度主题，设置智能网联新能源汽车、数字城市、智能机器人、智能居家、低空经济5大专业板块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018332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推动产业链上中下游、大中小企业融通创新的决策部署，推动创新链、产业链、资金链、人才链深度融合。充分发挥智博会平台效应，搭建产学研用高效对接平台，助力中小企业突破技术瓶颈、拓展全球市场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383B4B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活动主题</w:t>
      </w:r>
    </w:p>
    <w:p w14:paraId="4A3208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智联百企·融通共赢</w:t>
      </w:r>
    </w:p>
    <w:p w14:paraId="7B331F4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举办时间</w:t>
      </w:r>
    </w:p>
    <w:p w14:paraId="2C18A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2025年9月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下午</w:t>
      </w:r>
    </w:p>
    <w:p w14:paraId="66139C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举办地点</w:t>
      </w:r>
    </w:p>
    <w:p w14:paraId="3C1CBE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重庆国际博览中心展馆北序厅</w:t>
      </w:r>
    </w:p>
    <w:p w14:paraId="493DC27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组织机构</w:t>
      </w:r>
    </w:p>
    <w:p w14:paraId="5D6E891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主办单位：</w:t>
      </w:r>
      <w:r>
        <w:rPr>
          <w:rFonts w:hint="default" w:ascii="Times New Roman" w:hAnsi="Times New Roman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zCs w:val="32"/>
        </w:rPr>
        <w:t>世界智能产业博览会智博会组委会</w:t>
      </w:r>
    </w:p>
    <w:p w14:paraId="4E6D273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承办单位：重庆市经济和信息化委员会</w:t>
      </w:r>
    </w:p>
    <w:p w14:paraId="47D716B0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主要安排</w:t>
      </w:r>
    </w:p>
    <w:p w14:paraId="06CF8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.</w:t>
      </w: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24"/>
          <w:lang w:val="en-US" w:eastAsia="zh-CN"/>
        </w:rPr>
        <w:t>参加人员</w:t>
      </w: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24"/>
        </w:rPr>
        <w:t>（约</w:t>
      </w: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24"/>
          <w:lang w:val="en-US" w:eastAsia="zh-CN"/>
        </w:rPr>
        <w:t>200</w:t>
      </w: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24"/>
        </w:rPr>
        <w:t>人）</w:t>
      </w:r>
    </w:p>
    <w:p w14:paraId="76F02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工业和信息化部、重庆市经济信息委、重庆市相关职能部门、相关特色园区代表、行业学协会及投融资机构、企业代表、新闻媒体</w:t>
      </w:r>
    </w:p>
    <w:p w14:paraId="04CE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0"/>
          <w:kern w:val="0"/>
          <w:sz w:val="32"/>
          <w:szCs w:val="24"/>
          <w:lang w:val="en-US" w:eastAsia="zh-CN"/>
        </w:rPr>
        <w:t>3.活动安排：</w:t>
      </w:r>
    </w:p>
    <w:p w14:paraId="1A13A78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2312" w:cs="Times New Roman"/>
        </w:rPr>
      </w:pPr>
      <w:r>
        <w:rPr>
          <w:rFonts w:hint="default" w:ascii="Times New Roman" w:hAnsi="Times New Roman" w:cs="Times New Roman"/>
          <w:b/>
          <w:bCs/>
          <w:szCs w:val="32"/>
        </w:rPr>
        <w:t>第一环节：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领导致辞</w:t>
      </w:r>
    </w:p>
    <w:p w14:paraId="4385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:00—</w:t>
      </w: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领导致辞</w:t>
      </w:r>
    </w:p>
    <w:p w14:paraId="252406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b/>
          <w:bCs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</w:rPr>
        <w:t>第二环节：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供需赋能典型应用方案分享</w:t>
      </w:r>
    </w:p>
    <w:p w14:paraId="57CB906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—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 xml:space="preserve">:00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华为、小米、联想、科大讯飞、小鹏、阿里、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大疆、全亿等头部企业分享</w:t>
      </w:r>
    </w:p>
    <w:p w14:paraId="1BE5140F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第三环节：供给能力展示</w:t>
      </w:r>
    </w:p>
    <w:p w14:paraId="5223A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60" w:leftChars="200" w:hanging="1920" w:hanging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 川仪微电路等渝企业展示场景需求响应能力</w:t>
      </w:r>
    </w:p>
    <w:p w14:paraId="69A72CE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第三环节：供需对接交流</w:t>
      </w:r>
    </w:p>
    <w:p w14:paraId="6F178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560" w:leftChars="200" w:hanging="1920" w:hanging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:</w:t>
      </w:r>
      <w:r>
        <w:rPr>
          <w:rFonts w:hint="default" w:ascii="Times New Roman" w:hAnsi="Times New Roman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—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:</w:t>
      </w:r>
      <w:r>
        <w:rPr>
          <w:rFonts w:hint="default" w:ascii="Times New Roman" w:hAnsi="Times New Roman" w:cs="Times New Roman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大中小企业围绕各AI终端方向在行业中的落地经</w:t>
      </w:r>
      <w:r>
        <w:rPr>
          <w:rFonts w:hint="default" w:ascii="仿宋_GB2312" w:hAnsi="仿宋_GB2312" w:eastAsia="仿宋_GB2312" w:cs="仿宋_GB2312"/>
          <w:sz w:val="32"/>
          <w:lang w:val="en-US" w:eastAsia="zh-CN"/>
        </w:rPr>
        <w:t>验和挑战进行分组讨论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0EBB0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CA8EB1-9AA9-4F17-8F22-7702082A43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D3E934-3BFF-4A65-9D9B-F44FD665F0B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32DFBEC-88C6-4936-8AA1-483DA69EF79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C964ED3-D502-4059-80F5-3FF03F42750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DD36BFC-2F51-42EA-83CA-B3025C76C52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7686465-475E-44A9-931B-F311F9E47F4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415D9"/>
    <w:multiLevelType w:val="singleLevel"/>
    <w:tmpl w:val="C14415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方正楷体_GBK"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2025-08-19T14:16:20Z</dcterms:created>
  <dc:creator>27514</dc:creator>
  <cp:lastModifiedBy>WPS_1691981651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3657C851E7A244279F6CCEF92FF39E88_12</vt:lpwstr>
  </property>
</Properties>
</file>